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996816">
        <w:rPr>
          <w:rFonts w:ascii="Times New Roman" w:eastAsia="Times New Roman" w:hAnsi="Times New Roman"/>
          <w:b/>
          <w:bCs/>
          <w:i/>
          <w:color w:val="000000"/>
          <w:sz w:val="24"/>
          <w:szCs w:val="24"/>
          <w:lang w:eastAsia="bg-BG"/>
        </w:rPr>
        <w:t>5</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w:t>
            </w:r>
            <w:r w:rsidRPr="00BB7C3D">
              <w:rPr>
                <w:rFonts w:ascii="Times New Roman" w:eastAsia="Times New Roman" w:hAnsi="Times New Roman"/>
                <w:color w:val="333333"/>
                <w:szCs w:val="20"/>
                <w:lang w:eastAsia="bg-BG"/>
              </w:rPr>
              <w:lastRenderedPageBreak/>
              <w:t>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2A750A" w:rsidRDefault="00F80CA8" w:rsidP="0081766C">
            <w:pPr>
              <w:spacing w:after="0" w:line="240" w:lineRule="auto"/>
              <w:jc w:val="both"/>
              <w:rPr>
                <w:color w:val="333333"/>
                <w:szCs w:val="20"/>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r>
            <w:r w:rsidR="008A5036" w:rsidRPr="0081766C">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r w:rsidR="008A5036" w:rsidRPr="008A5036">
              <w:rPr>
                <w:rFonts w:ascii="Times New Roman" w:eastAsia="Times New Roman" w:hAnsi="Times New Roman"/>
                <w:color w:val="333333"/>
                <w:szCs w:val="20"/>
                <w:lang w:eastAsia="bg-BG"/>
              </w:rPr>
              <w:t xml:space="preserve"> </w:t>
            </w:r>
          </w:p>
          <w:p w:rsidR="002A750A" w:rsidRPr="0099681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Тази дейност не включва:</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г)  всички полети, извършвани изключително по правилата за визуални полети, както са определени в приложение 2 към Чикагската конвенция;</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2A750A" w:rsidRPr="0099681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 излитане, по-малко от 5 700  kg;</w:t>
            </w:r>
          </w:p>
          <w:p w:rsidR="008A5036" w:rsidRPr="008A5036"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w:t>
            </w:r>
            <w:r w:rsidRPr="008A5036">
              <w:rPr>
                <w:rFonts w:ascii="Times New Roman" w:eastAsia="Times New Roman" w:hAnsi="Times New Roman"/>
                <w:color w:val="333333"/>
                <w:szCs w:val="20"/>
                <w:lang w:eastAsia="bg-BG"/>
              </w:rPr>
              <w:t xml:space="preserve"> </w:t>
            </w:r>
            <w:r w:rsidRPr="0081766C">
              <w:rPr>
                <w:rFonts w:ascii="Times New Roman" w:eastAsia="Times New Roman" w:hAnsi="Times New Roman"/>
                <w:color w:val="333333"/>
                <w:szCs w:val="20"/>
                <w:lang w:eastAsia="bg-BG"/>
              </w:rPr>
              <w:t>50 000 </w:t>
            </w:r>
            <w:r w:rsidRPr="008A5036">
              <w:rPr>
                <w:rFonts w:ascii="Times New Roman" w:eastAsia="Times New Roman" w:hAnsi="Times New Roman"/>
                <w:color w:val="333333"/>
                <w:szCs w:val="20"/>
                <w:lang w:eastAsia="bg-BG"/>
              </w:rPr>
              <w:t> </w:t>
            </w:r>
            <w:r w:rsidRPr="0081766C">
              <w:rPr>
                <w:rFonts w:ascii="Times New Roman" w:eastAsia="Times New Roman" w:hAnsi="Times New Roman"/>
                <w:color w:val="333333"/>
                <w:szCs w:val="20"/>
                <w:lang w:eastAsia="bg-BG"/>
              </w:rPr>
              <w:t>на година;</w:t>
            </w:r>
          </w:p>
          <w:p w:rsidR="008A5036" w:rsidRPr="0081766C" w:rsidRDefault="008A5036" w:rsidP="0081766C">
            <w:pPr>
              <w:spacing w:after="0" w:line="240" w:lineRule="auto"/>
              <w:jc w:val="both"/>
              <w:rPr>
                <w:color w:val="333333"/>
                <w:szCs w:val="20"/>
              </w:rPr>
            </w:pPr>
            <w:r w:rsidRPr="0081766C">
              <w:rPr>
                <w:rFonts w:ascii="Times New Roman" w:eastAsia="Times New Roman" w:hAnsi="Times New Roman"/>
                <w:color w:val="333333"/>
                <w:szCs w:val="20"/>
                <w:lang w:eastAsia="bg-BG"/>
              </w:rPr>
              <w:lastRenderedPageBreak/>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8A5036" w:rsidRPr="0081766C" w:rsidRDefault="008A5036" w:rsidP="0081766C">
            <w:pPr>
              <w:spacing w:after="0" w:line="240" w:lineRule="auto"/>
              <w:jc w:val="both"/>
              <w:rPr>
                <w:rFonts w:ascii="Times New Roman" w:hAnsi="Times New Roman"/>
                <w:color w:val="333333"/>
                <w:szCs w:val="20"/>
              </w:rPr>
            </w:pPr>
            <w:r w:rsidRPr="0081766C">
              <w:rPr>
                <w:rFonts w:ascii="Times New Roman" w:eastAsia="Times New Roman" w:hAnsi="Times New Roman" w:hint="eastAsia"/>
                <w:color w:val="333333"/>
                <w:szCs w:val="20"/>
                <w:lang w:eastAsia="bg-BG"/>
              </w:rPr>
              <w:t>— по</w:t>
            </w:r>
            <w:r w:rsidRPr="0081766C">
              <w:rPr>
                <w:rFonts w:ascii="Times New Roman" w:eastAsia="Times New Roman" w:hAnsi="Times New Roman"/>
                <w:color w:val="333333"/>
                <w:szCs w:val="20"/>
                <w:lang w:eastAsia="bg-BG"/>
              </w:rPr>
              <w:t>-</w:t>
            </w:r>
            <w:r w:rsidRPr="0081766C">
              <w:rPr>
                <w:rFonts w:ascii="Times New Roman" w:eastAsia="Times New Roman" w:hAnsi="Times New Roman" w:hint="eastAsia"/>
                <w:color w:val="333333"/>
                <w:szCs w:val="20"/>
                <w:lang w:eastAsia="bg-BG"/>
              </w:rPr>
              <w:t>малко</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от</w:t>
            </w:r>
            <w:r w:rsidRPr="0081766C">
              <w:rPr>
                <w:rFonts w:ascii="Times New Roman" w:eastAsia="Times New Roman" w:hAnsi="Times New Roman"/>
                <w:color w:val="333333"/>
                <w:szCs w:val="20"/>
                <w:lang w:eastAsia="bg-BG"/>
              </w:rPr>
              <w:t xml:space="preserve"> 243 </w:t>
            </w:r>
            <w:r w:rsidRPr="0081766C">
              <w:rPr>
                <w:rFonts w:ascii="Times New Roman" w:eastAsia="Times New Roman" w:hAnsi="Times New Roman" w:hint="eastAsia"/>
                <w:color w:val="333333"/>
                <w:szCs w:val="20"/>
                <w:lang w:eastAsia="bg-BG"/>
              </w:rPr>
              <w:t>полета</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за</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период</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от</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три</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последователни</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четиримесечия</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или</w:t>
            </w:r>
          </w:p>
          <w:p w:rsid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hint="eastAsia"/>
                <w:color w:val="333333"/>
                <w:szCs w:val="20"/>
                <w:lang w:eastAsia="bg-BG"/>
              </w:rPr>
              <w:t>— полети</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с</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общи</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годишни</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емисии</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под</w:t>
            </w:r>
            <w:r w:rsidRPr="0081766C">
              <w:rPr>
                <w:rFonts w:ascii="Times New Roman" w:eastAsia="Times New Roman" w:hAnsi="Times New Roman"/>
                <w:color w:val="333333"/>
                <w:szCs w:val="20"/>
                <w:lang w:eastAsia="bg-BG"/>
              </w:rPr>
              <w:t xml:space="preserve"> 10</w:t>
            </w:r>
            <w:r w:rsidRPr="0081766C">
              <w:rPr>
                <w:rFonts w:ascii="Times New Roman" w:eastAsia="Times New Roman" w:hAnsi="Times New Roman" w:hint="eastAsia"/>
                <w:color w:val="333333"/>
                <w:szCs w:val="20"/>
                <w:lang w:eastAsia="bg-BG"/>
              </w:rPr>
              <w:t> </w:t>
            </w:r>
            <w:r w:rsidRPr="0081766C">
              <w:rPr>
                <w:rFonts w:ascii="Times New Roman" w:eastAsia="Times New Roman" w:hAnsi="Times New Roman"/>
                <w:color w:val="333333"/>
                <w:szCs w:val="20"/>
                <w:lang w:eastAsia="bg-BG"/>
              </w:rPr>
              <w:t xml:space="preserve">000 </w:t>
            </w:r>
            <w:r w:rsidRPr="0081766C">
              <w:rPr>
                <w:rFonts w:ascii="Times New Roman" w:eastAsia="Times New Roman" w:hAnsi="Times New Roman" w:hint="eastAsia"/>
                <w:color w:val="333333"/>
                <w:szCs w:val="20"/>
                <w:lang w:eastAsia="bg-BG"/>
              </w:rPr>
              <w:t> тона</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на</w:t>
            </w:r>
            <w:r w:rsidRPr="0081766C">
              <w:rPr>
                <w:rFonts w:ascii="Times New Roman" w:eastAsia="Times New Roman" w:hAnsi="Times New Roman"/>
                <w:color w:val="333333"/>
                <w:szCs w:val="20"/>
                <w:lang w:eastAsia="bg-BG"/>
              </w:rPr>
              <w:t xml:space="preserve"> </w:t>
            </w:r>
            <w:r w:rsidRPr="0081766C">
              <w:rPr>
                <w:rFonts w:ascii="Times New Roman" w:eastAsia="Times New Roman" w:hAnsi="Times New Roman" w:hint="eastAsia"/>
                <w:color w:val="333333"/>
                <w:szCs w:val="20"/>
                <w:lang w:eastAsia="bg-BG"/>
              </w:rPr>
              <w:t>година</w:t>
            </w:r>
            <w:r w:rsidRPr="0081766C">
              <w:rPr>
                <w:rFonts w:ascii="Times New Roman" w:eastAsia="Times New Roman" w:hAnsi="Times New Roman"/>
                <w:color w:val="333333"/>
                <w:szCs w:val="20"/>
                <w:lang w:eastAsia="bg-BG"/>
              </w:rPr>
              <w:t>.</w:t>
            </w:r>
          </w:p>
          <w:p w:rsidR="002A750A" w:rsidRDefault="002A750A" w:rsidP="008A5036">
            <w:pPr>
              <w:spacing w:after="0" w:line="240" w:lineRule="auto"/>
              <w:jc w:val="both"/>
              <w:rPr>
                <w:rFonts w:ascii="Times New Roman" w:eastAsia="Times New Roman" w:hAnsi="Times New Roman"/>
                <w:color w:val="333333"/>
                <w:szCs w:val="20"/>
                <w:lang w:eastAsia="bg-BG"/>
              </w:rPr>
            </w:pPr>
          </w:p>
          <w:p w:rsidR="002A750A"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p>
          <w:p w:rsidR="002A750A" w:rsidRDefault="002A750A" w:rsidP="008A5036">
            <w:pPr>
              <w:spacing w:after="0" w:line="240" w:lineRule="auto"/>
              <w:jc w:val="both"/>
              <w:rPr>
                <w:rFonts w:ascii="Times New Roman" w:eastAsia="Times New Roman" w:hAnsi="Times New Roman"/>
                <w:color w:val="333333"/>
                <w:szCs w:val="20"/>
                <w:lang w:eastAsia="bg-BG"/>
              </w:rPr>
            </w:pPr>
          </w:p>
          <w:p w:rsid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 </w:t>
            </w:r>
          </w:p>
          <w:p w:rsid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л)  полети от летища, разположени в Швейцария, до летища, разположени в ЕИП;  </w:t>
            </w:r>
            <w:r w:rsidRPr="0081766C">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p w:rsidR="002A750A" w:rsidRPr="008A5036" w:rsidRDefault="002A750A" w:rsidP="008A5036">
            <w:pPr>
              <w:spacing w:after="0" w:line="240" w:lineRule="auto"/>
              <w:jc w:val="both"/>
              <w:rPr>
                <w:rFonts w:ascii="Times New Roman" w:eastAsia="Times New Roman" w:hAnsi="Times New Roman"/>
                <w:color w:val="333333"/>
                <w:szCs w:val="20"/>
                <w:lang w:eastAsia="bg-BG"/>
              </w:rPr>
            </w:pP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б)  те произвеждат годишни емисии на CO2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i)  държавни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ii)  полети с хуманитарни цели;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iii)  полети за медицински цели;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iv)  военни полети;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v)  полети за гасене на пожари;</w:t>
            </w:r>
          </w:p>
          <w:p w:rsidR="00F80CA8" w:rsidRPr="00BB7C3D" w:rsidRDefault="008A5036">
            <w:pPr>
              <w:spacing w:after="0" w:line="240" w:lineRule="auto"/>
              <w:jc w:val="both"/>
              <w:rPr>
                <w:rFonts w:ascii="Times New Roman" w:eastAsia="Times New Roman" w:hAnsi="Times New Roman"/>
                <w:color w:val="333333"/>
                <w:szCs w:val="20"/>
                <w:lang w:eastAsia="bg-BG"/>
              </w:rPr>
            </w:pPr>
            <w:r w:rsidRPr="0081766C">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DFF" w:rsidRDefault="003D7DFF" w:rsidP="00402ACA">
      <w:pPr>
        <w:spacing w:after="0" w:line="240" w:lineRule="auto"/>
      </w:pPr>
      <w:r>
        <w:separator/>
      </w:r>
    </w:p>
  </w:endnote>
  <w:endnote w:type="continuationSeparator" w:id="0">
    <w:p w:rsidR="003D7DFF" w:rsidRDefault="003D7DFF"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81766C">
          <w:rPr>
            <w:noProof/>
          </w:rPr>
          <w:t>1</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DFF" w:rsidRDefault="003D7DFF" w:rsidP="00402ACA">
      <w:pPr>
        <w:spacing w:after="0" w:line="240" w:lineRule="auto"/>
      </w:pPr>
      <w:r>
        <w:separator/>
      </w:r>
    </w:p>
  </w:footnote>
  <w:footnote w:type="continuationSeparator" w:id="0">
    <w:p w:rsidR="003D7DFF" w:rsidRDefault="003D7DFF"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4400"/>
    <w:rsid w:val="002262CD"/>
    <w:rsid w:val="002665DE"/>
    <w:rsid w:val="002A750A"/>
    <w:rsid w:val="002B70A3"/>
    <w:rsid w:val="002D3045"/>
    <w:rsid w:val="002E65D8"/>
    <w:rsid w:val="002F2EFA"/>
    <w:rsid w:val="0033559F"/>
    <w:rsid w:val="0034268B"/>
    <w:rsid w:val="0035732F"/>
    <w:rsid w:val="00392C0D"/>
    <w:rsid w:val="00397070"/>
    <w:rsid w:val="003A35BB"/>
    <w:rsid w:val="003C05E1"/>
    <w:rsid w:val="003C31CA"/>
    <w:rsid w:val="003C4032"/>
    <w:rsid w:val="003D1FDC"/>
    <w:rsid w:val="003D7DFF"/>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12627"/>
    <w:rsid w:val="00622EF3"/>
    <w:rsid w:val="00645185"/>
    <w:rsid w:val="006564B8"/>
    <w:rsid w:val="0067156B"/>
    <w:rsid w:val="00687EAD"/>
    <w:rsid w:val="00691015"/>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8137F7"/>
    <w:rsid w:val="00816DDA"/>
    <w:rsid w:val="0081766C"/>
    <w:rsid w:val="008652E5"/>
    <w:rsid w:val="008A2B53"/>
    <w:rsid w:val="008A5036"/>
    <w:rsid w:val="008B1316"/>
    <w:rsid w:val="008D4237"/>
    <w:rsid w:val="008D45CE"/>
    <w:rsid w:val="009622AE"/>
    <w:rsid w:val="00971248"/>
    <w:rsid w:val="0098334F"/>
    <w:rsid w:val="00984A52"/>
    <w:rsid w:val="00991CB4"/>
    <w:rsid w:val="0099667C"/>
    <w:rsid w:val="00996816"/>
    <w:rsid w:val="009A0149"/>
    <w:rsid w:val="009B2846"/>
    <w:rsid w:val="009C5EB8"/>
    <w:rsid w:val="009D4213"/>
    <w:rsid w:val="009D49EC"/>
    <w:rsid w:val="00A049DA"/>
    <w:rsid w:val="00A05ADF"/>
    <w:rsid w:val="00A233EA"/>
    <w:rsid w:val="00A2514B"/>
    <w:rsid w:val="00A25708"/>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61BE9"/>
    <w:rsid w:val="00B9758F"/>
    <w:rsid w:val="00BA5767"/>
    <w:rsid w:val="00BB7C3D"/>
    <w:rsid w:val="00BE46BF"/>
    <w:rsid w:val="00C1106C"/>
    <w:rsid w:val="00C13066"/>
    <w:rsid w:val="00C161DD"/>
    <w:rsid w:val="00C454F2"/>
    <w:rsid w:val="00C47C4D"/>
    <w:rsid w:val="00C5662F"/>
    <w:rsid w:val="00C62008"/>
    <w:rsid w:val="00C63107"/>
    <w:rsid w:val="00C7282F"/>
    <w:rsid w:val="00CA50C2"/>
    <w:rsid w:val="00CA7836"/>
    <w:rsid w:val="00CD143E"/>
    <w:rsid w:val="00CE4009"/>
    <w:rsid w:val="00CF6C86"/>
    <w:rsid w:val="00D43F14"/>
    <w:rsid w:val="00D551E4"/>
    <w:rsid w:val="00DE6316"/>
    <w:rsid w:val="00E02F22"/>
    <w:rsid w:val="00E066E6"/>
    <w:rsid w:val="00E12556"/>
    <w:rsid w:val="00E22914"/>
    <w:rsid w:val="00E44CEF"/>
    <w:rsid w:val="00E530D5"/>
    <w:rsid w:val="00E534F5"/>
    <w:rsid w:val="00E75E5B"/>
    <w:rsid w:val="00E80277"/>
    <w:rsid w:val="00E81D57"/>
    <w:rsid w:val="00E8373B"/>
    <w:rsid w:val="00E91B13"/>
    <w:rsid w:val="00E97B38"/>
    <w:rsid w:val="00EA0271"/>
    <w:rsid w:val="00EA40C7"/>
    <w:rsid w:val="00EB452B"/>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38970B-9713-4437-B471-EFB6F9D6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paragraph" w:customStyle="1" w:styleId="tbl-norm">
    <w:name w:val="tbl-norm"/>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basedOn w:val="DefaultParagraphFont"/>
    <w:uiPriority w:val="99"/>
    <w:semiHidden/>
    <w:unhideWhenUsed/>
    <w:rsid w:val="008A5036"/>
    <w:rPr>
      <w:color w:val="0000FF"/>
      <w:u w:val="single"/>
    </w:rPr>
  </w:style>
  <w:style w:type="character" w:customStyle="1" w:styleId="boldface">
    <w:name w:val="boldface"/>
    <w:basedOn w:val="DefaultParagraphFont"/>
    <w:rsid w:val="008A5036"/>
  </w:style>
  <w:style w:type="paragraph" w:customStyle="1" w:styleId="item-none">
    <w:name w:val="item-none"/>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ubscript">
    <w:name w:val="subscript"/>
    <w:basedOn w:val="DefaultParagraphFont"/>
    <w:rsid w:val="008A5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246836654">
      <w:bodyDiv w:val="1"/>
      <w:marLeft w:val="0"/>
      <w:marRight w:val="0"/>
      <w:marTop w:val="0"/>
      <w:marBottom w:val="0"/>
      <w:divBdr>
        <w:top w:val="none" w:sz="0" w:space="0" w:color="auto"/>
        <w:left w:val="none" w:sz="0" w:space="0" w:color="auto"/>
        <w:bottom w:val="none" w:sz="0" w:space="0" w:color="auto"/>
        <w:right w:val="none" w:sz="0" w:space="0" w:color="auto"/>
      </w:divBdr>
      <w:divsChild>
        <w:div w:id="810638516">
          <w:marLeft w:val="240"/>
          <w:marRight w:val="0"/>
          <w:marTop w:val="0"/>
          <w:marBottom w:val="0"/>
          <w:divBdr>
            <w:top w:val="none" w:sz="0" w:space="0" w:color="auto"/>
            <w:left w:val="none" w:sz="0" w:space="0" w:color="auto"/>
            <w:bottom w:val="none" w:sz="0" w:space="0" w:color="auto"/>
            <w:right w:val="none" w:sz="0" w:space="0" w:color="auto"/>
          </w:divBdr>
        </w:div>
        <w:div w:id="446894710">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66B5A-5C58-4C97-AF52-C079B6B4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19</cp:revision>
  <dcterms:created xsi:type="dcterms:W3CDTF">2023-11-01T13:57:00Z</dcterms:created>
  <dcterms:modified xsi:type="dcterms:W3CDTF">2025-04-17T07:07:00Z</dcterms:modified>
</cp:coreProperties>
</file>