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CE4426">
        <w:rPr>
          <w:rFonts w:ascii="Times New Roman" w:eastAsia="Times New Roman" w:hAnsi="Times New Roman"/>
          <w:b/>
          <w:bCs/>
          <w:i/>
          <w:color w:val="000000"/>
          <w:sz w:val="24"/>
          <w:szCs w:val="24"/>
          <w:lang w:eastAsia="bg-BG"/>
        </w:rPr>
        <w:t>2</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0" w:name="to_paragraph_id5761870"/>
      <w:bookmarkEnd w:id="0"/>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lastRenderedPageBreak/>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Сушене или изпичане на гипс или производство на гипсови панели или други продукти от гипс с производствен капацитет за калциниран гипс или изсушен </w:t>
            </w:r>
            <w:r w:rsidRPr="00BB7C3D">
              <w:rPr>
                <w:rFonts w:ascii="Times New Roman" w:eastAsia="Times New Roman" w:hAnsi="Times New Roman"/>
                <w:color w:val="333333"/>
                <w:szCs w:val="20"/>
                <w:lang w:eastAsia="bg-BG"/>
              </w:rPr>
              <w:lastRenderedPageBreak/>
              <w:t>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C1106C" w:rsidRDefault="00F80CA8" w:rsidP="00C1106C">
            <w:pPr>
              <w:spacing w:after="0" w:line="240" w:lineRule="auto"/>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r>
            <w:r w:rsidRPr="00BB7C3D">
              <w:rPr>
                <w:rFonts w:ascii="Times New Roman" w:eastAsia="Times New Roman" w:hAnsi="Times New Roman"/>
                <w:color w:val="333333"/>
                <w:szCs w:val="20"/>
                <w:lang w:eastAsia="bg-BG"/>
              </w:rPr>
              <w:lastRenderedPageBreak/>
              <w:t>iv)  военни полети;</w:t>
            </w:r>
            <w:r w:rsidRPr="00BB7C3D">
              <w:rPr>
                <w:rFonts w:ascii="Times New Roman" w:eastAsia="Times New Roman" w:hAnsi="Times New Roman"/>
                <w:color w:val="333333"/>
                <w:szCs w:val="20"/>
                <w:lang w:eastAsia="bg-BG"/>
              </w:rPr>
              <w:br/>
              <w:t>v)  полети за гасене на пожари;</w:t>
            </w:r>
          </w:p>
          <w:p w:rsidR="00F80CA8" w:rsidRPr="00BB7C3D" w:rsidRDefault="00F80CA8" w:rsidP="00C1106C">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rsidR="00C1106C" w:rsidRDefault="00C1106C" w:rsidP="00BB7C3D">
            <w:pPr>
              <w:spacing w:after="0" w:line="240" w:lineRule="auto"/>
              <w:jc w:val="both"/>
              <w:rPr>
                <w:rFonts w:ascii="Times New Roman" w:eastAsia="Times New Roman" w:hAnsi="Times New Roman"/>
                <w:color w:val="333333"/>
                <w:szCs w:val="20"/>
                <w:lang w:eastAsia="bg-BG"/>
              </w:rPr>
            </w:pP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rsidR="00C7282F"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w:t>
            </w:r>
            <w:r w:rsidR="00C1106C">
              <w:rPr>
                <w:rFonts w:ascii="Times New Roman" w:eastAsia="Times New Roman" w:hAnsi="Times New Roman"/>
                <w:color w:val="333333"/>
                <w:szCs w:val="20"/>
                <w:lang w:eastAsia="bg-BG"/>
              </w:rPr>
              <w:t xml:space="preserve"> излитане, по-малко от 5 700  кг.</w:t>
            </w:r>
            <w:r w:rsidRPr="00BB7C3D">
              <w:rPr>
                <w:rFonts w:ascii="Times New Roman" w:eastAsia="Times New Roman" w:hAnsi="Times New Roman"/>
                <w:color w:val="333333"/>
                <w:szCs w:val="20"/>
                <w:lang w:eastAsia="bg-BG"/>
              </w:rPr>
              <w:t>;</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p>
          <w:p w:rsidR="00F80CA8" w:rsidRPr="00BB7C3D"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по-малко от 243 полета за период от три последователни четиримесечия,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полети с общи годишни емисии под 10 000  тона на година.</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1D3" w:rsidRDefault="00D471D3" w:rsidP="00402ACA">
      <w:pPr>
        <w:spacing w:after="0" w:line="240" w:lineRule="auto"/>
      </w:pPr>
      <w:r>
        <w:separator/>
      </w:r>
    </w:p>
  </w:endnote>
  <w:endnote w:type="continuationSeparator" w:id="0">
    <w:p w:rsidR="00D471D3" w:rsidRDefault="00D471D3"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Yu Gothic UI"/>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F36906">
          <w:rPr>
            <w:noProof/>
          </w:rPr>
          <w:t>1</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1D3" w:rsidRDefault="00D471D3" w:rsidP="00402ACA">
      <w:pPr>
        <w:spacing w:after="0" w:line="240" w:lineRule="auto"/>
      </w:pPr>
      <w:r>
        <w:separator/>
      </w:r>
    </w:p>
  </w:footnote>
  <w:footnote w:type="continuationSeparator" w:id="0">
    <w:p w:rsidR="00D471D3" w:rsidRDefault="00D471D3"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299"/>
      <w:gridCol w:w="2799"/>
      <w:gridCol w:w="3418"/>
    </w:tblGrid>
    <w:tr w:rsidR="00CE4426" w:rsidRPr="003805E3" w:rsidTr="00D52AD0">
      <w:trPr>
        <w:trHeight w:val="708"/>
      </w:trPr>
      <w:tc>
        <w:tcPr>
          <w:tcW w:w="3276" w:type="dxa"/>
        </w:tcPr>
        <w:p w:rsidR="00CE4426" w:rsidRPr="003805E3" w:rsidRDefault="00CE4426" w:rsidP="00CE4426">
          <w:pPr>
            <w:rPr>
              <w:rFonts w:ascii="Calibri" w:eastAsia="Calibri" w:hAnsi="Calibri"/>
              <w:b/>
              <w:sz w:val="18"/>
              <w:szCs w:val="18"/>
            </w:rPr>
          </w:pPr>
          <w:bookmarkStart w:id="1" w:name="_GoBack"/>
          <w:bookmarkEnd w:id="1"/>
          <w:r>
            <w:rPr>
              <w:rFonts w:ascii="Calibri" w:eastAsia="Calibri" w:hAnsi="Calibri"/>
              <w:i/>
              <w:noProof/>
              <w:sz w:val="22"/>
              <w:szCs w:val="22"/>
              <w:lang w:val="en-US"/>
            </w:rPr>
            <w:drawing>
              <wp:inline distT="0" distB="0" distL="0" distR="0">
                <wp:extent cx="2005965" cy="464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4185"/>
                        </a:xfrm>
                        <a:prstGeom prst="rect">
                          <a:avLst/>
                        </a:prstGeom>
                        <a:noFill/>
                        <a:ln>
                          <a:noFill/>
                        </a:ln>
                      </pic:spPr>
                    </pic:pic>
                  </a:graphicData>
                </a:graphic>
              </wp:inline>
            </w:drawing>
          </w:r>
        </w:p>
      </w:tc>
      <w:tc>
        <w:tcPr>
          <w:tcW w:w="2886" w:type="dxa"/>
        </w:tcPr>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tc>
      <w:tc>
        <w:tcPr>
          <w:tcW w:w="3354" w:type="dxa"/>
        </w:tcPr>
        <w:p w:rsidR="00CE4426" w:rsidRPr="003805E3" w:rsidRDefault="00CE4426" w:rsidP="00CE4426">
          <w:pPr>
            <w:jc w:val="center"/>
            <w:rPr>
              <w:rFonts w:ascii="Calibri" w:eastAsia="Calibri" w:hAnsi="Calibri"/>
              <w:sz w:val="22"/>
              <w:szCs w:val="22"/>
            </w:rPr>
          </w:pPr>
          <w:r>
            <w:rPr>
              <w:noProof/>
              <w:lang w:val="en-US"/>
            </w:rPr>
            <w:drawing>
              <wp:inline distT="0" distB="0" distL="0" distR="0">
                <wp:extent cx="2081530" cy="593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1530" cy="593725"/>
                        </a:xfrm>
                        <a:prstGeom prst="rect">
                          <a:avLst/>
                        </a:prstGeom>
                        <a:noFill/>
                        <a:ln>
                          <a:noFill/>
                        </a:ln>
                      </pic:spPr>
                    </pic:pic>
                  </a:graphicData>
                </a:graphic>
              </wp:inline>
            </w:drawing>
          </w:r>
        </w:p>
      </w:tc>
    </w:tr>
  </w:tbl>
  <w:p w:rsidR="00CE4426" w:rsidRDefault="00CE4426" w:rsidP="00CE4426">
    <w:pPr>
      <w:pStyle w:val="Header"/>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06" w:rsidRDefault="00F3690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303E"/>
    <w:rsid w:val="001C4400"/>
    <w:rsid w:val="002262CD"/>
    <w:rsid w:val="002665DE"/>
    <w:rsid w:val="002D3045"/>
    <w:rsid w:val="002E65D8"/>
    <w:rsid w:val="002F2EFA"/>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D3A3A"/>
    <w:rsid w:val="007F019E"/>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106C"/>
    <w:rsid w:val="00C13066"/>
    <w:rsid w:val="00C161DD"/>
    <w:rsid w:val="00C454F2"/>
    <w:rsid w:val="00C47C4D"/>
    <w:rsid w:val="00C5662F"/>
    <w:rsid w:val="00C62008"/>
    <w:rsid w:val="00C63107"/>
    <w:rsid w:val="00C7282F"/>
    <w:rsid w:val="00CA50C2"/>
    <w:rsid w:val="00CA7836"/>
    <w:rsid w:val="00CD143E"/>
    <w:rsid w:val="00CE4009"/>
    <w:rsid w:val="00CE4426"/>
    <w:rsid w:val="00CF6C86"/>
    <w:rsid w:val="00D43F14"/>
    <w:rsid w:val="00D471D3"/>
    <w:rsid w:val="00D551E4"/>
    <w:rsid w:val="00DE6316"/>
    <w:rsid w:val="00E02F22"/>
    <w:rsid w:val="00E066E6"/>
    <w:rsid w:val="00E12556"/>
    <w:rsid w:val="00E22914"/>
    <w:rsid w:val="00E44CEF"/>
    <w:rsid w:val="00E530D5"/>
    <w:rsid w:val="00E534F5"/>
    <w:rsid w:val="00E75E5B"/>
    <w:rsid w:val="00E80277"/>
    <w:rsid w:val="00E81D57"/>
    <w:rsid w:val="00E91B13"/>
    <w:rsid w:val="00E97B38"/>
    <w:rsid w:val="00EA0271"/>
    <w:rsid w:val="00EA40C7"/>
    <w:rsid w:val="00EB452B"/>
    <w:rsid w:val="00EB7A94"/>
    <w:rsid w:val="00EF6A85"/>
    <w:rsid w:val="00F12A1D"/>
    <w:rsid w:val="00F150D2"/>
    <w:rsid w:val="00F34F47"/>
    <w:rsid w:val="00F3655F"/>
    <w:rsid w:val="00F36906"/>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09254FC-E1C3-4951-8FD6-E4E523ED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A3B97-06A9-404B-BFFA-6136401C7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1836</Words>
  <Characters>10467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17</cp:revision>
  <dcterms:created xsi:type="dcterms:W3CDTF">2023-11-01T13:57:00Z</dcterms:created>
  <dcterms:modified xsi:type="dcterms:W3CDTF">2024-11-18T12:59:00Z</dcterms:modified>
</cp:coreProperties>
</file>