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0E4C50" w14:textId="1BD50405" w:rsidR="0052672D" w:rsidRPr="00792D3C" w:rsidRDefault="00FB4851" w:rsidP="0052672D">
      <w:pPr>
        <w:jc w:val="right"/>
        <w:rPr>
          <w:rFonts w:ascii="Times New Roman" w:hAnsi="Times New Roman" w:cs="Times New Roman"/>
          <w:b/>
          <w:sz w:val="24"/>
          <w:szCs w:val="24"/>
          <w:lang w:val="en-US"/>
        </w:rPr>
      </w:pPr>
      <w:r w:rsidRPr="00792D3C">
        <w:rPr>
          <w:rFonts w:ascii="Times New Roman" w:hAnsi="Times New Roman" w:cs="Times New Roman"/>
          <w:b/>
          <w:sz w:val="24"/>
          <w:szCs w:val="24"/>
        </w:rPr>
        <w:t>Приложение 3.</w:t>
      </w:r>
      <w:r w:rsidRPr="00792D3C">
        <w:rPr>
          <w:rFonts w:ascii="Times New Roman" w:hAnsi="Times New Roman" w:cs="Times New Roman"/>
          <w:b/>
          <w:sz w:val="24"/>
          <w:szCs w:val="24"/>
          <w:lang w:val="en-US"/>
        </w:rPr>
        <w:t>A</w:t>
      </w:r>
    </w:p>
    <w:p w14:paraId="01926439" w14:textId="77777777" w:rsidR="0052672D" w:rsidRPr="00792D3C" w:rsidRDefault="0052672D" w:rsidP="0052672D">
      <w:pPr>
        <w:jc w:val="center"/>
        <w:rPr>
          <w:rFonts w:ascii="Times New Roman" w:hAnsi="Times New Roman" w:cs="Times New Roman"/>
          <w:b/>
          <w:sz w:val="24"/>
          <w:szCs w:val="24"/>
        </w:rPr>
      </w:pPr>
    </w:p>
    <w:p w14:paraId="681B8152" w14:textId="192C95CA" w:rsidR="008D2918" w:rsidRPr="00792D3C" w:rsidRDefault="004674D0" w:rsidP="00347BD6">
      <w:pPr>
        <w:ind w:right="-142"/>
        <w:jc w:val="center"/>
        <w:rPr>
          <w:rFonts w:ascii="Times New Roman" w:hAnsi="Times New Roman" w:cs="Times New Roman"/>
          <w:b/>
          <w:sz w:val="24"/>
          <w:szCs w:val="24"/>
          <w:lang w:val="en-US"/>
        </w:rPr>
      </w:pPr>
      <w:r w:rsidRPr="00792D3C">
        <w:rPr>
          <w:rFonts w:ascii="Times New Roman" w:hAnsi="Times New Roman" w:cs="Times New Roman"/>
          <w:b/>
          <w:sz w:val="24"/>
          <w:szCs w:val="24"/>
        </w:rPr>
        <w:t>Изисквания, произтичащи от</w:t>
      </w:r>
      <w:r w:rsidR="0052672D" w:rsidRPr="00792D3C">
        <w:rPr>
          <w:rFonts w:ascii="Times New Roman" w:hAnsi="Times New Roman" w:cs="Times New Roman"/>
          <w:b/>
          <w:sz w:val="24"/>
          <w:szCs w:val="24"/>
        </w:rPr>
        <w:t xml:space="preserve"> правилата за </w:t>
      </w:r>
      <w:r w:rsidR="00D74503" w:rsidRPr="00792D3C">
        <w:rPr>
          <w:rFonts w:ascii="Times New Roman" w:hAnsi="Times New Roman" w:cs="Times New Roman"/>
          <w:b/>
          <w:sz w:val="24"/>
          <w:szCs w:val="24"/>
        </w:rPr>
        <w:t>„</w:t>
      </w:r>
      <w:r w:rsidR="00076B58" w:rsidRPr="00792D3C">
        <w:rPr>
          <w:rFonts w:ascii="Times New Roman" w:hAnsi="Times New Roman" w:cs="Times New Roman"/>
          <w:b/>
          <w:sz w:val="24"/>
          <w:szCs w:val="24"/>
        </w:rPr>
        <w:t xml:space="preserve">Помощи </w:t>
      </w:r>
      <w:r w:rsidR="00D74503" w:rsidRPr="00792D3C">
        <w:rPr>
          <w:rFonts w:ascii="Times New Roman" w:hAnsi="Times New Roman" w:cs="Times New Roman"/>
          <w:b/>
          <w:sz w:val="24"/>
          <w:szCs w:val="24"/>
        </w:rPr>
        <w:t xml:space="preserve">за иновации в полза на МСП“ съгласно чл. 28 </w:t>
      </w:r>
      <w:r w:rsidR="00DE71E8">
        <w:rPr>
          <w:rFonts w:ascii="Times New Roman" w:hAnsi="Times New Roman" w:cs="Times New Roman"/>
          <w:b/>
          <w:sz w:val="24"/>
          <w:szCs w:val="24"/>
        </w:rPr>
        <w:t>от Регламент (ЕС) № 651/2014</w:t>
      </w:r>
    </w:p>
    <w:p w14:paraId="023D23DA" w14:textId="77777777" w:rsidR="008D2918" w:rsidRPr="00792D3C" w:rsidRDefault="008D2918" w:rsidP="008D2918">
      <w:pPr>
        <w:rPr>
          <w:rFonts w:ascii="Times New Roman" w:hAnsi="Times New Roman" w:cs="Times New Roman"/>
          <w:sz w:val="24"/>
          <w:szCs w:val="24"/>
        </w:rPr>
      </w:pPr>
    </w:p>
    <w:p w14:paraId="3FDF071D" w14:textId="24D5F300" w:rsidR="00842A44" w:rsidRPr="00792D3C" w:rsidRDefault="009864EB" w:rsidP="005B6A58">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bCs/>
          <w:sz w:val="24"/>
          <w:szCs w:val="24"/>
        </w:rPr>
        <w:t xml:space="preserve">Помощта по процедура </w:t>
      </w:r>
      <w:r w:rsidR="00B92CC7" w:rsidRPr="00B92CC7">
        <w:rPr>
          <w:rFonts w:ascii="Times New Roman" w:eastAsia="Calibri" w:hAnsi="Times New Roman" w:cs="Times New Roman"/>
          <w:bCs/>
          <w:sz w:val="24"/>
          <w:szCs w:val="24"/>
        </w:rPr>
        <w:t xml:space="preserve">BG16RFPR002-1.005 </w:t>
      </w:r>
      <w:r w:rsidR="00B92CC7">
        <w:rPr>
          <w:rFonts w:ascii="Times New Roman" w:eastAsia="Calibri" w:hAnsi="Times New Roman" w:cs="Times New Roman"/>
          <w:bCs/>
          <w:sz w:val="24"/>
          <w:szCs w:val="24"/>
        </w:rPr>
        <w:t>„</w:t>
      </w:r>
      <w:r w:rsidR="00B92CC7" w:rsidRPr="00B92CC7">
        <w:rPr>
          <w:rFonts w:ascii="Times New Roman" w:eastAsia="Calibri" w:hAnsi="Times New Roman" w:cs="Times New Roman"/>
          <w:bCs/>
          <w:sz w:val="24"/>
          <w:szCs w:val="24"/>
        </w:rPr>
        <w:t>Малки иновативни грантове (ваучерна схема за малки и средни предприятия (МСП)</w:t>
      </w:r>
      <w:r w:rsidRPr="00792D3C">
        <w:rPr>
          <w:rFonts w:ascii="Times New Roman" w:eastAsia="Calibri" w:hAnsi="Times New Roman" w:cs="Times New Roman"/>
          <w:bCs/>
          <w:sz w:val="24"/>
          <w:szCs w:val="24"/>
        </w:rPr>
        <w:t>“ се предоставя при условията на</w:t>
      </w:r>
      <w:r w:rsidR="005B6A58">
        <w:rPr>
          <w:rFonts w:ascii="Times New Roman" w:eastAsia="Calibri" w:hAnsi="Times New Roman" w:cs="Times New Roman"/>
          <w:bCs/>
          <w:sz w:val="24"/>
          <w:szCs w:val="24"/>
        </w:rPr>
        <w:t xml:space="preserve"> </w:t>
      </w:r>
      <w:r w:rsidR="00842A44" w:rsidRPr="00792D3C">
        <w:rPr>
          <w:rFonts w:ascii="Times New Roman" w:eastAsia="Calibri" w:hAnsi="Times New Roman" w:cs="Times New Roman"/>
          <w:b/>
          <w:sz w:val="24"/>
          <w:szCs w:val="24"/>
        </w:rPr>
        <w:t xml:space="preserve">РЕЖИМ „ПОМОЩИ ЗА ИНОВАЦИИ </w:t>
      </w:r>
      <w:r w:rsidR="003E4734">
        <w:rPr>
          <w:rFonts w:ascii="Times New Roman" w:eastAsia="Calibri" w:hAnsi="Times New Roman" w:cs="Times New Roman"/>
          <w:b/>
          <w:sz w:val="24"/>
          <w:szCs w:val="24"/>
        </w:rPr>
        <w:t>В ПОЛЗА НА МСП“ съгласно чл. 28</w:t>
      </w:r>
      <w:r w:rsidR="00842A44" w:rsidRPr="00792D3C">
        <w:rPr>
          <w:rFonts w:ascii="Times New Roman" w:eastAsia="Calibri" w:hAnsi="Times New Roman" w:cs="Times New Roman"/>
          <w:b/>
          <w:sz w:val="24"/>
          <w:szCs w:val="24"/>
        </w:rPr>
        <w:t xml:space="preserve"> от Регламент (ЕС) № 651/2014</w:t>
      </w:r>
      <w:r w:rsidR="00842A44" w:rsidRPr="00792D3C">
        <w:rPr>
          <w:rFonts w:ascii="Times New Roman" w:eastAsia="Calibri" w:hAnsi="Times New Roman" w:cs="Times New Roman"/>
          <w:sz w:val="24"/>
          <w:szCs w:val="24"/>
        </w:rPr>
        <w:t xml:space="preserve">, </w:t>
      </w:r>
      <w:r w:rsidR="009C7FB9" w:rsidRPr="00792D3C">
        <w:rPr>
          <w:rFonts w:ascii="Times New Roman" w:eastAsia="Calibri" w:hAnsi="Times New Roman" w:cs="Times New Roman"/>
          <w:sz w:val="24"/>
          <w:szCs w:val="24"/>
        </w:rPr>
        <w:t xml:space="preserve">е необходимо </w:t>
      </w:r>
      <w:r w:rsidR="00842A44" w:rsidRPr="00792D3C">
        <w:rPr>
          <w:rFonts w:ascii="Times New Roman" w:eastAsia="Calibri" w:hAnsi="Times New Roman" w:cs="Times New Roman"/>
          <w:sz w:val="24"/>
          <w:szCs w:val="24"/>
        </w:rPr>
        <w:t>кандидатите да спазват следните изисквания:</w:t>
      </w:r>
    </w:p>
    <w:p w14:paraId="1810A800" w14:textId="47269DF4" w:rsidR="009C7FB9" w:rsidRPr="00792D3C" w:rsidRDefault="00D53EDC" w:rsidP="009C7FB9">
      <w:pPr>
        <w:jc w:val="both"/>
        <w:rPr>
          <w:rFonts w:ascii="Times New Roman" w:hAnsi="Times New Roman" w:cs="Times New Roman"/>
          <w:b/>
          <w:sz w:val="24"/>
          <w:szCs w:val="24"/>
        </w:rPr>
      </w:pPr>
      <w:r w:rsidRPr="00792D3C">
        <w:rPr>
          <w:rFonts w:ascii="Times New Roman" w:hAnsi="Times New Roman" w:cs="Times New Roman"/>
          <w:b/>
          <w:sz w:val="24"/>
          <w:szCs w:val="24"/>
        </w:rPr>
        <w:t>1</w:t>
      </w:r>
      <w:r w:rsidR="009C7FB9" w:rsidRPr="00792D3C">
        <w:rPr>
          <w:rFonts w:ascii="Times New Roman" w:hAnsi="Times New Roman" w:cs="Times New Roman"/>
          <w:b/>
          <w:sz w:val="24"/>
          <w:szCs w:val="24"/>
        </w:rPr>
        <w:t>. Максимален размер на помощта:</w:t>
      </w:r>
    </w:p>
    <w:p w14:paraId="5209BCAC" w14:textId="280122BB"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 xml:space="preserve">Безвъзмездното финансиране, за което се кандидатства при </w:t>
      </w:r>
      <w:r w:rsidR="00D53EDC" w:rsidRPr="00792D3C">
        <w:rPr>
          <w:rFonts w:ascii="Times New Roman" w:hAnsi="Times New Roman" w:cs="Times New Roman"/>
          <w:sz w:val="24"/>
          <w:szCs w:val="24"/>
        </w:rPr>
        <w:t>приложим</w:t>
      </w:r>
      <w:r w:rsidRPr="00792D3C">
        <w:rPr>
          <w:rFonts w:ascii="Times New Roman" w:hAnsi="Times New Roman" w:cs="Times New Roman"/>
          <w:sz w:val="24"/>
          <w:szCs w:val="24"/>
        </w:rPr>
        <w:t xml:space="preserve"> режим „</w:t>
      </w:r>
      <w:r w:rsidR="00D53EDC" w:rsidRPr="00792D3C">
        <w:rPr>
          <w:rFonts w:ascii="Times New Roman" w:hAnsi="Times New Roman" w:cs="Times New Roman"/>
          <w:sz w:val="24"/>
          <w:szCs w:val="24"/>
        </w:rPr>
        <w:t>помощи за иновации в полза на МСП</w:t>
      </w:r>
      <w:r w:rsidRPr="00792D3C">
        <w:rPr>
          <w:rFonts w:ascii="Times New Roman" w:hAnsi="Times New Roman" w:cs="Times New Roman"/>
          <w:sz w:val="24"/>
          <w:szCs w:val="24"/>
          <w:lang w:val="en-US"/>
        </w:rPr>
        <w:t>”</w:t>
      </w:r>
      <w:r w:rsidRPr="00792D3C">
        <w:rPr>
          <w:rFonts w:ascii="Times New Roman" w:hAnsi="Times New Roman" w:cs="Times New Roman"/>
          <w:sz w:val="24"/>
          <w:szCs w:val="24"/>
        </w:rPr>
        <w:t>, заедно с получената държавна/минимална помощ от други източници, не може да надхвърля:</w:t>
      </w:r>
    </w:p>
    <w:p w14:paraId="7ACF37E5" w14:textId="691107B4" w:rsidR="00A119B1" w:rsidRPr="00A119B1" w:rsidRDefault="00A119B1" w:rsidP="00A119B1">
      <w:pPr>
        <w:jc w:val="both"/>
        <w:rPr>
          <w:rFonts w:ascii="Times New Roman" w:hAnsi="Times New Roman" w:cs="Times New Roman"/>
          <w:sz w:val="24"/>
          <w:szCs w:val="24"/>
        </w:rPr>
      </w:pPr>
      <w:r>
        <w:rPr>
          <w:rFonts w:ascii="Times New Roman" w:hAnsi="Times New Roman" w:cs="Times New Roman"/>
          <w:sz w:val="24"/>
          <w:szCs w:val="24"/>
        </w:rPr>
        <w:t>П</w:t>
      </w:r>
      <w:r w:rsidRPr="00A119B1">
        <w:rPr>
          <w:rFonts w:ascii="Times New Roman" w:hAnsi="Times New Roman" w:cs="Times New Roman"/>
          <w:sz w:val="24"/>
          <w:szCs w:val="24"/>
        </w:rPr>
        <w:t xml:space="preserve">омощта за предприятията </w:t>
      </w:r>
      <w:r>
        <w:rPr>
          <w:rFonts w:ascii="Times New Roman" w:hAnsi="Times New Roman" w:cs="Times New Roman"/>
          <w:sz w:val="24"/>
          <w:szCs w:val="24"/>
        </w:rPr>
        <w:t>е</w:t>
      </w:r>
      <w:r w:rsidRPr="00A119B1">
        <w:rPr>
          <w:rFonts w:ascii="Times New Roman" w:hAnsi="Times New Roman" w:cs="Times New Roman"/>
          <w:sz w:val="24"/>
          <w:szCs w:val="24"/>
        </w:rPr>
        <w:t xml:space="preserve"> с интензитет до 100% от допустимите разходи при условие, че </w:t>
      </w:r>
      <w:r w:rsidR="003A5265" w:rsidRPr="00792D3C">
        <w:rPr>
          <w:rFonts w:ascii="Times New Roman" w:hAnsi="Times New Roman" w:cs="Times New Roman"/>
          <w:b/>
          <w:sz w:val="24"/>
          <w:szCs w:val="24"/>
        </w:rPr>
        <w:t xml:space="preserve">максимално </w:t>
      </w:r>
      <w:r w:rsidRPr="00792D3C">
        <w:rPr>
          <w:rFonts w:ascii="Times New Roman" w:hAnsi="Times New Roman" w:cs="Times New Roman"/>
          <w:b/>
          <w:sz w:val="24"/>
          <w:szCs w:val="24"/>
        </w:rPr>
        <w:t xml:space="preserve">допустимия </w:t>
      </w:r>
      <w:r w:rsidRPr="00A119B1">
        <w:rPr>
          <w:rFonts w:ascii="Times New Roman" w:hAnsi="Times New Roman" w:cs="Times New Roman"/>
          <w:sz w:val="24"/>
          <w:szCs w:val="24"/>
        </w:rPr>
        <w:t xml:space="preserve">размер на помощта не надхвърля </w:t>
      </w:r>
      <w:r w:rsidR="003A5265">
        <w:rPr>
          <w:rFonts w:ascii="Times New Roman" w:hAnsi="Times New Roman" w:cs="Times New Roman"/>
          <w:sz w:val="24"/>
          <w:szCs w:val="24"/>
        </w:rPr>
        <w:t>430 282,60 (</w:t>
      </w:r>
      <w:r w:rsidRPr="00A119B1">
        <w:rPr>
          <w:rFonts w:ascii="Times New Roman" w:hAnsi="Times New Roman" w:cs="Times New Roman"/>
          <w:sz w:val="24"/>
          <w:szCs w:val="24"/>
        </w:rPr>
        <w:t>левовата равностойност на 220 000 евро</w:t>
      </w:r>
      <w:r w:rsidR="003A5265">
        <w:rPr>
          <w:rFonts w:ascii="Times New Roman" w:hAnsi="Times New Roman" w:cs="Times New Roman"/>
          <w:sz w:val="24"/>
          <w:szCs w:val="24"/>
        </w:rPr>
        <w:t>)</w:t>
      </w:r>
      <w:r w:rsidRPr="00A119B1">
        <w:rPr>
          <w:rFonts w:ascii="Times New Roman" w:hAnsi="Times New Roman" w:cs="Times New Roman"/>
          <w:sz w:val="24"/>
          <w:szCs w:val="24"/>
        </w:rPr>
        <w:t xml:space="preserve"> за предприятие за период от 3 години.</w:t>
      </w:r>
    </w:p>
    <w:p w14:paraId="7AA03563" w14:textId="6E82F2AD" w:rsidR="00A119B1" w:rsidRPr="00A119B1" w:rsidRDefault="00A119B1" w:rsidP="00A119B1">
      <w:pPr>
        <w:jc w:val="both"/>
        <w:rPr>
          <w:rFonts w:ascii="Times New Roman" w:hAnsi="Times New Roman" w:cs="Times New Roman"/>
          <w:sz w:val="24"/>
          <w:szCs w:val="24"/>
        </w:rPr>
      </w:pPr>
      <w:r w:rsidRPr="00A119B1">
        <w:rPr>
          <w:rFonts w:ascii="Times New Roman" w:hAnsi="Times New Roman" w:cs="Times New Roman"/>
          <w:sz w:val="24"/>
          <w:szCs w:val="24"/>
        </w:rPr>
        <w:t xml:space="preserve">Проверката за съответствие с максимално допустимия размер на помощта се извършва от </w:t>
      </w:r>
      <w:r>
        <w:rPr>
          <w:rFonts w:ascii="Times New Roman" w:hAnsi="Times New Roman" w:cs="Times New Roman"/>
          <w:sz w:val="24"/>
          <w:szCs w:val="24"/>
        </w:rPr>
        <w:t>УО на ПНИИДИТ</w:t>
      </w:r>
      <w:r w:rsidRPr="00A119B1">
        <w:rPr>
          <w:rFonts w:ascii="Times New Roman" w:hAnsi="Times New Roman" w:cs="Times New Roman"/>
          <w:sz w:val="24"/>
          <w:szCs w:val="24"/>
        </w:rPr>
        <w:t xml:space="preserve"> при вземане предвид на общия размер на държавната помощ и/или минималната помощ, получена във връзка със същите установими допустими разходи, които се припокриват частично или напълно с разходите за предоставяната услуга.</w:t>
      </w:r>
    </w:p>
    <w:p w14:paraId="3898962B" w14:textId="2732F8F8" w:rsidR="00A119B1" w:rsidRDefault="00A119B1" w:rsidP="00A119B1">
      <w:pPr>
        <w:jc w:val="both"/>
        <w:rPr>
          <w:rFonts w:ascii="Times New Roman" w:hAnsi="Times New Roman" w:cs="Times New Roman"/>
          <w:sz w:val="24"/>
          <w:szCs w:val="24"/>
        </w:rPr>
      </w:pPr>
      <w:r w:rsidRPr="00A119B1">
        <w:rPr>
          <w:rFonts w:ascii="Times New Roman" w:hAnsi="Times New Roman" w:cs="Times New Roman"/>
          <w:sz w:val="24"/>
          <w:szCs w:val="24"/>
        </w:rPr>
        <w:t>Във връзка с изискването на чл. 1, пар. 2, буква „а“ от Регламент (ЕС) № 651/2014, средният годишен бюджет по процедурата за държавната помощ на държава членка няма да надхвърли 200 милиона евро.</w:t>
      </w:r>
    </w:p>
    <w:p w14:paraId="154E6FEB" w14:textId="1EEE5752" w:rsidR="009C7FB9" w:rsidRPr="00792D3C" w:rsidRDefault="009C7FB9" w:rsidP="00A119B1">
      <w:pPr>
        <w:jc w:val="both"/>
        <w:rPr>
          <w:rFonts w:ascii="Times New Roman" w:hAnsi="Times New Roman" w:cs="Times New Roman"/>
          <w:bCs/>
          <w:sz w:val="24"/>
          <w:szCs w:val="24"/>
        </w:rPr>
      </w:pPr>
      <w:r w:rsidRPr="00792D3C">
        <w:rPr>
          <w:rFonts w:ascii="Times New Roman" w:hAnsi="Times New Roman" w:cs="Times New Roman"/>
          <w:sz w:val="24"/>
          <w:szCs w:val="24"/>
        </w:rPr>
        <w:t xml:space="preserve">Проверката за съответствие с посочения максимално допустим размер на помощта се извършва при отчитане на общия размер на </w:t>
      </w:r>
      <w:r w:rsidRPr="00792D3C">
        <w:rPr>
          <w:rFonts w:ascii="Times New Roman" w:hAnsi="Times New Roman" w:cs="Times New Roman"/>
          <w:bCs/>
          <w:sz w:val="24"/>
          <w:szCs w:val="24"/>
        </w:rPr>
        <w:t>държавната помощ и/или минималната помощ, получена във връзка със същите установими допустими разходи, които се припокриват частично или напълно с разходите на кандидата по проекта.</w:t>
      </w:r>
    </w:p>
    <w:p w14:paraId="635C4B87" w14:textId="4BD939B9" w:rsidR="009C7FB9" w:rsidRPr="00792D3C" w:rsidRDefault="00062997" w:rsidP="009C7FB9">
      <w:pPr>
        <w:jc w:val="both"/>
        <w:rPr>
          <w:rFonts w:ascii="Times New Roman" w:hAnsi="Times New Roman" w:cs="Times New Roman"/>
          <w:b/>
          <w:sz w:val="24"/>
          <w:szCs w:val="24"/>
        </w:rPr>
      </w:pPr>
      <w:r w:rsidRPr="00792D3C">
        <w:rPr>
          <w:rFonts w:ascii="Times New Roman" w:hAnsi="Times New Roman" w:cs="Times New Roman"/>
          <w:b/>
          <w:sz w:val="24"/>
          <w:szCs w:val="24"/>
        </w:rPr>
        <w:t>2</w:t>
      </w:r>
      <w:r w:rsidR="009C7FB9" w:rsidRPr="00792D3C">
        <w:rPr>
          <w:rFonts w:ascii="Times New Roman" w:hAnsi="Times New Roman" w:cs="Times New Roman"/>
          <w:b/>
          <w:sz w:val="24"/>
          <w:szCs w:val="24"/>
        </w:rPr>
        <w:t xml:space="preserve">. Недопустими кандидати при </w:t>
      </w:r>
      <w:r w:rsidRPr="00792D3C">
        <w:rPr>
          <w:rFonts w:ascii="Times New Roman" w:hAnsi="Times New Roman" w:cs="Times New Roman"/>
          <w:b/>
          <w:sz w:val="24"/>
          <w:szCs w:val="24"/>
        </w:rPr>
        <w:t>приложим режим „помощи за иновации в полза на МСП”</w:t>
      </w:r>
    </w:p>
    <w:p w14:paraId="66CA5980" w14:textId="791F3E88"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b/>
          <w:sz w:val="24"/>
          <w:szCs w:val="24"/>
        </w:rPr>
        <w:t xml:space="preserve">Кандидатите не могат да участват </w:t>
      </w:r>
      <w:r w:rsidRPr="00792D3C">
        <w:rPr>
          <w:rFonts w:ascii="Times New Roman" w:hAnsi="Times New Roman" w:cs="Times New Roman"/>
          <w:sz w:val="24"/>
          <w:szCs w:val="24"/>
        </w:rPr>
        <w:t xml:space="preserve">в процедурата и да получат безвъзмездно финансиране, в случай че попадат в </w:t>
      </w:r>
      <w:r w:rsidRPr="00792D3C">
        <w:rPr>
          <w:rFonts w:ascii="Times New Roman" w:hAnsi="Times New Roman" w:cs="Times New Roman"/>
          <w:b/>
          <w:sz w:val="24"/>
          <w:szCs w:val="24"/>
        </w:rPr>
        <w:t>забранителните режими</w:t>
      </w:r>
      <w:r w:rsidRPr="00792D3C">
        <w:rPr>
          <w:rFonts w:ascii="Times New Roman" w:hAnsi="Times New Roman" w:cs="Times New Roman"/>
          <w:sz w:val="24"/>
          <w:szCs w:val="24"/>
        </w:rPr>
        <w:t xml:space="preserve"> съгласно чл. 1, пар. 3 на </w:t>
      </w:r>
      <w:r w:rsidRPr="00792D3C">
        <w:rPr>
          <w:rFonts w:ascii="Times New Roman" w:hAnsi="Times New Roman" w:cs="Times New Roman"/>
          <w:bCs/>
          <w:sz w:val="24"/>
          <w:szCs w:val="24"/>
        </w:rPr>
        <w:t xml:space="preserve">Регламент (ЕС) № 651/2014 </w:t>
      </w:r>
      <w:r w:rsidRPr="00792D3C">
        <w:rPr>
          <w:rFonts w:ascii="Times New Roman" w:hAnsi="Times New Roman" w:cs="Times New Roman"/>
          <w:sz w:val="24"/>
          <w:szCs w:val="24"/>
        </w:rPr>
        <w:t>и по-конкретно, ако:</w:t>
      </w:r>
    </w:p>
    <w:p w14:paraId="7BD86D12" w14:textId="77777777" w:rsidR="009C7FB9" w:rsidRPr="00792D3C" w:rsidRDefault="009C7FB9" w:rsidP="009C7FB9">
      <w:pPr>
        <w:jc w:val="both"/>
        <w:rPr>
          <w:rFonts w:ascii="Times New Roman" w:hAnsi="Times New Roman" w:cs="Times New Roman"/>
          <w:b/>
          <w:sz w:val="24"/>
          <w:szCs w:val="24"/>
        </w:rPr>
      </w:pPr>
      <w:r w:rsidRPr="00792D3C">
        <w:rPr>
          <w:rFonts w:ascii="Times New Roman" w:hAnsi="Times New Roman" w:cs="Times New Roman"/>
          <w:b/>
          <w:sz w:val="24"/>
          <w:szCs w:val="24"/>
        </w:rPr>
        <w:t>А)</w:t>
      </w: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Икономическата дейност</w:t>
      </w:r>
      <w:r w:rsidRPr="00792D3C">
        <w:rPr>
          <w:rFonts w:ascii="Times New Roman" w:hAnsi="Times New Roman" w:cs="Times New Roman"/>
          <w:sz w:val="24"/>
          <w:szCs w:val="24"/>
        </w:rPr>
        <w:t>,</w:t>
      </w:r>
      <w:r w:rsidRPr="00792D3C">
        <w:rPr>
          <w:rFonts w:ascii="Times New Roman" w:hAnsi="Times New Roman" w:cs="Times New Roman"/>
          <w:b/>
          <w:sz w:val="24"/>
          <w:szCs w:val="24"/>
        </w:rPr>
        <w:t xml:space="preserve"> за която кандидатстват се отнася до</w:t>
      </w:r>
      <w:r w:rsidRPr="00792D3C">
        <w:rPr>
          <w:rFonts w:ascii="Times New Roman" w:hAnsi="Times New Roman" w:cs="Times New Roman"/>
          <w:b/>
          <w:sz w:val="24"/>
          <w:szCs w:val="24"/>
          <w:vertAlign w:val="superscript"/>
        </w:rPr>
        <w:footnoteReference w:id="1"/>
      </w:r>
      <w:r w:rsidRPr="00792D3C">
        <w:rPr>
          <w:rFonts w:ascii="Times New Roman" w:hAnsi="Times New Roman" w:cs="Times New Roman"/>
          <w:b/>
          <w:sz w:val="24"/>
          <w:szCs w:val="24"/>
        </w:rPr>
        <w:t>:</w:t>
      </w:r>
    </w:p>
    <w:p w14:paraId="1FDC16FE" w14:textId="77777777" w:rsidR="001608E4" w:rsidRPr="001608E4" w:rsidRDefault="001608E4" w:rsidP="001608E4">
      <w:pPr>
        <w:spacing w:after="0"/>
        <w:jc w:val="both"/>
        <w:rPr>
          <w:rFonts w:ascii="Times New Roman" w:hAnsi="Times New Roman" w:cs="Times New Roman"/>
          <w:sz w:val="24"/>
          <w:szCs w:val="24"/>
        </w:rPr>
      </w:pPr>
      <w:r w:rsidRPr="001608E4">
        <w:rPr>
          <w:rFonts w:ascii="Times New Roman" w:hAnsi="Times New Roman" w:cs="Times New Roman"/>
          <w:sz w:val="24"/>
          <w:szCs w:val="24"/>
        </w:rPr>
        <w:t>• сектора на първично производство на селскостопански продукти;</w:t>
      </w:r>
    </w:p>
    <w:p w14:paraId="01A1D0E2" w14:textId="77777777" w:rsidR="009C7FB9" w:rsidRPr="00792D3C" w:rsidRDefault="009C7FB9" w:rsidP="009C7FB9">
      <w:pPr>
        <w:spacing w:after="0"/>
        <w:jc w:val="both"/>
        <w:rPr>
          <w:rFonts w:ascii="Times New Roman" w:hAnsi="Times New Roman" w:cs="Times New Roman"/>
          <w:sz w:val="24"/>
          <w:szCs w:val="24"/>
        </w:rPr>
      </w:pPr>
      <w:r w:rsidRPr="00792D3C">
        <w:rPr>
          <w:rFonts w:ascii="Times New Roman" w:hAnsi="Times New Roman" w:cs="Times New Roman"/>
          <w:sz w:val="24"/>
          <w:szCs w:val="24"/>
        </w:rPr>
        <w:t>• сектора на преработка</w:t>
      </w:r>
      <w:r w:rsidRPr="00792D3C">
        <w:rPr>
          <w:rStyle w:val="FootnoteReference"/>
          <w:rFonts w:ascii="Times New Roman" w:hAnsi="Times New Roman" w:cs="Times New Roman"/>
          <w:sz w:val="24"/>
          <w:szCs w:val="24"/>
        </w:rPr>
        <w:footnoteReference w:id="2"/>
      </w:r>
      <w:r w:rsidRPr="00792D3C">
        <w:rPr>
          <w:rFonts w:ascii="Times New Roman" w:hAnsi="Times New Roman" w:cs="Times New Roman"/>
          <w:sz w:val="24"/>
          <w:szCs w:val="24"/>
        </w:rPr>
        <w:t xml:space="preserve"> и продажба на селскостопански продукти, в следните случаи:</w:t>
      </w:r>
    </w:p>
    <w:p w14:paraId="37D72F37" w14:textId="77777777" w:rsidR="009C7FB9" w:rsidRPr="00792D3C" w:rsidRDefault="009C7FB9" w:rsidP="009C7FB9">
      <w:pPr>
        <w:spacing w:after="0"/>
        <w:jc w:val="both"/>
        <w:rPr>
          <w:rFonts w:ascii="Times New Roman" w:hAnsi="Times New Roman" w:cs="Times New Roman"/>
          <w:sz w:val="24"/>
          <w:szCs w:val="24"/>
        </w:rPr>
      </w:pPr>
      <w:r w:rsidRPr="00792D3C">
        <w:rPr>
          <w:rFonts w:ascii="Times New Roman" w:hAnsi="Times New Roman" w:cs="Times New Roman"/>
          <w:sz w:val="24"/>
          <w:szCs w:val="24"/>
        </w:rPr>
        <w:lastRenderedPageBreak/>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53B24E6"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w:t>
      </w:r>
      <w:r w:rsidRPr="00792D3C">
        <w:rPr>
          <w:rFonts w:ascii="Times New Roman" w:hAnsi="Times New Roman" w:cs="Times New Roman"/>
          <w:sz w:val="24"/>
          <w:szCs w:val="24"/>
        </w:rPr>
        <w:softHyphen/>
        <w:t>тели;</w:t>
      </w:r>
    </w:p>
    <w:p w14:paraId="64163B2A"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b/>
          <w:sz w:val="24"/>
          <w:szCs w:val="24"/>
        </w:rPr>
        <w:t xml:space="preserve">А1) </w:t>
      </w:r>
      <w:r w:rsidRPr="00792D3C">
        <w:rPr>
          <w:rFonts w:ascii="Times New Roman" w:hAnsi="Times New Roman" w:cs="Times New Roman"/>
          <w:sz w:val="24"/>
          <w:szCs w:val="24"/>
        </w:rPr>
        <w:t>Проектното предложение съдържа дейности за улесняване на закриването на неконкурентоспособни въглищни мини в съответствие с Решение 2010/787/ЕС на Съвета.</w:t>
      </w:r>
    </w:p>
    <w:p w14:paraId="43E8A302" w14:textId="77777777" w:rsidR="009C7FB9" w:rsidRPr="00792D3C" w:rsidRDefault="009C7FB9" w:rsidP="009C7FB9">
      <w:pPr>
        <w:jc w:val="both"/>
        <w:rPr>
          <w:rFonts w:ascii="Times New Roman" w:hAnsi="Times New Roman" w:cs="Times New Roman"/>
          <w:b/>
          <w:sz w:val="24"/>
          <w:szCs w:val="24"/>
        </w:rPr>
      </w:pPr>
      <w:r w:rsidRPr="00792D3C">
        <w:rPr>
          <w:rFonts w:ascii="Times New Roman" w:hAnsi="Times New Roman" w:cs="Times New Roman"/>
          <w:b/>
          <w:sz w:val="24"/>
          <w:szCs w:val="24"/>
        </w:rPr>
        <w:t>Б) Са предприятия, които:</w:t>
      </w:r>
    </w:p>
    <w:p w14:paraId="51EB6E88"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792D3C">
        <w:rPr>
          <w:rFonts w:ascii="Times New Roman" w:hAnsi="Times New Roman" w:cs="Times New Roman"/>
          <w:sz w:val="24"/>
          <w:szCs w:val="24"/>
          <w:vertAlign w:val="superscript"/>
        </w:rPr>
        <w:footnoteReference w:id="3"/>
      </w:r>
      <w:r w:rsidRPr="00792D3C">
        <w:rPr>
          <w:rFonts w:ascii="Times New Roman" w:hAnsi="Times New Roman" w:cs="Times New Roman"/>
          <w:sz w:val="24"/>
          <w:szCs w:val="24"/>
        </w:rPr>
        <w:t>;</w:t>
      </w:r>
    </w:p>
    <w:p w14:paraId="4FFC2D6C"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 са „предприятия в затруднено положение“, по отношение на които е изпълнено поне едно от следните обстоятелства</w:t>
      </w:r>
      <w:r w:rsidRPr="00792D3C">
        <w:rPr>
          <w:rFonts w:ascii="Times New Roman" w:hAnsi="Times New Roman" w:cs="Times New Roman"/>
          <w:sz w:val="24"/>
          <w:szCs w:val="24"/>
          <w:vertAlign w:val="superscript"/>
        </w:rPr>
        <w:footnoteReference w:id="4"/>
      </w:r>
      <w:r w:rsidRPr="00792D3C">
        <w:rPr>
          <w:rFonts w:ascii="Times New Roman" w:hAnsi="Times New Roman" w:cs="Times New Roman"/>
          <w:sz w:val="24"/>
          <w:szCs w:val="24"/>
        </w:rPr>
        <w:t>:</w:t>
      </w:r>
    </w:p>
    <w:p w14:paraId="18677628" w14:textId="7678A2B1"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(различно от МСП, което съществува по-малко от три години</w:t>
      </w:r>
      <w:r w:rsidR="0033254F" w:rsidRPr="00792D3C">
        <w:rPr>
          <w:rFonts w:ascii="Times New Roman" w:hAnsi="Times New Roman" w:cs="Times New Roman"/>
          <w:sz w:val="24"/>
          <w:szCs w:val="24"/>
        </w:rPr>
        <w:t xml:space="preserve"> </w:t>
      </w:r>
      <w:r w:rsidR="0033254F" w:rsidRPr="00792D3C">
        <w:rPr>
          <w:rFonts w:ascii="Times New Roman" w:hAnsi="Times New Roman"/>
          <w:sz w:val="24"/>
          <w:szCs w:val="24"/>
        </w:rPr>
        <w:t>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Pr="00792D3C">
        <w:rPr>
          <w:rFonts w:ascii="Times New Roman" w:hAnsi="Times New Roman" w:cs="Times New Roman"/>
          <w:sz w:val="24"/>
          <w:szCs w:val="24"/>
        </w:rPr>
        <w:t>),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на Европейския парламент и на Съвета, а „акционерен капитал“ включва, ако е уместно, всякакви премии от емисии.</w:t>
      </w:r>
    </w:p>
    <w:p w14:paraId="542CA1EA"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Преценката относно обстоятелството по т. 1 се извършва въз основа на данните за последната приключена финансова година, както следва:</w:t>
      </w:r>
    </w:p>
    <w:p w14:paraId="4F4C6F7D"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 xml:space="preserve">Едно предприятие ще бъде считано за „предприятие в затруднено положение“, когато сумата на т. </w:t>
      </w:r>
      <w:r w:rsidRPr="00792D3C">
        <w:rPr>
          <w:rFonts w:ascii="Times New Roman" w:hAnsi="Times New Roman" w:cs="Times New Roman"/>
          <w:sz w:val="24"/>
          <w:szCs w:val="24"/>
          <w:lang w:val="en-US"/>
        </w:rPr>
        <w:t>III</w:t>
      </w:r>
      <w:r w:rsidRPr="00792D3C">
        <w:rPr>
          <w:rFonts w:ascii="Times New Roman" w:hAnsi="Times New Roman" w:cs="Times New Roman"/>
          <w:sz w:val="24"/>
          <w:szCs w:val="24"/>
        </w:rPr>
        <w:t xml:space="preserve"> „Резерв от последващи оценки“, т. </w:t>
      </w:r>
      <w:r w:rsidRPr="00792D3C">
        <w:rPr>
          <w:rFonts w:ascii="Times New Roman" w:hAnsi="Times New Roman" w:cs="Times New Roman"/>
          <w:sz w:val="24"/>
          <w:szCs w:val="24"/>
          <w:lang w:val="en-US"/>
        </w:rPr>
        <w:t>IV</w:t>
      </w:r>
      <w:r w:rsidRPr="00792D3C">
        <w:rPr>
          <w:rFonts w:ascii="Times New Roman" w:hAnsi="Times New Roman" w:cs="Times New Roman"/>
          <w:sz w:val="24"/>
          <w:szCs w:val="24"/>
        </w:rPr>
        <w:t xml:space="preserve"> „Резерви“, т. </w:t>
      </w:r>
      <w:r w:rsidRPr="00792D3C">
        <w:rPr>
          <w:rFonts w:ascii="Times New Roman" w:hAnsi="Times New Roman" w:cs="Times New Roman"/>
          <w:sz w:val="24"/>
          <w:szCs w:val="24"/>
          <w:lang w:val="en-US"/>
        </w:rPr>
        <w:t>V</w:t>
      </w:r>
      <w:r w:rsidRPr="00792D3C">
        <w:rPr>
          <w:rFonts w:ascii="Times New Roman" w:hAnsi="Times New Roman" w:cs="Times New Roman"/>
          <w:sz w:val="24"/>
          <w:szCs w:val="24"/>
        </w:rPr>
        <w:t xml:space="preserve"> „Натрупана печалба (загуба) от минали години“ и т. </w:t>
      </w:r>
      <w:r w:rsidRPr="00792D3C">
        <w:rPr>
          <w:rFonts w:ascii="Times New Roman" w:hAnsi="Times New Roman" w:cs="Times New Roman"/>
          <w:sz w:val="24"/>
          <w:szCs w:val="24"/>
          <w:lang w:val="en-US"/>
        </w:rPr>
        <w:t>VI</w:t>
      </w:r>
      <w:r w:rsidRPr="00792D3C">
        <w:rPr>
          <w:rFonts w:ascii="Times New Roman" w:hAnsi="Times New Roman" w:cs="Times New Roman"/>
          <w:sz w:val="24"/>
          <w:szCs w:val="24"/>
        </w:rPr>
        <w:t xml:space="preserve"> „Текуща печалба (загуба)“ от раздел А „Собствен капитал“ на пасивите, описани в Счетоводния баланс на съответното предприятие </w:t>
      </w:r>
      <w:r w:rsidRPr="00792D3C">
        <w:rPr>
          <w:rFonts w:ascii="Times New Roman" w:hAnsi="Times New Roman" w:cs="Times New Roman"/>
          <w:b/>
          <w:sz w:val="24"/>
          <w:szCs w:val="24"/>
        </w:rPr>
        <w:t xml:space="preserve">е отрицателна </w:t>
      </w:r>
      <w:r w:rsidRPr="00792D3C">
        <w:rPr>
          <w:rFonts w:ascii="Times New Roman" w:hAnsi="Times New Roman" w:cs="Times New Roman"/>
          <w:b/>
          <w:sz w:val="24"/>
          <w:szCs w:val="24"/>
        </w:rPr>
        <w:lastRenderedPageBreak/>
        <w:t>стойност</w:t>
      </w:r>
      <w:r w:rsidRPr="00792D3C">
        <w:rPr>
          <w:rFonts w:ascii="Times New Roman" w:hAnsi="Times New Roman" w:cs="Times New Roman"/>
          <w:sz w:val="24"/>
          <w:szCs w:val="24"/>
        </w:rPr>
        <w:t xml:space="preserve">, която надвишава 50% от сумата на т. </w:t>
      </w:r>
      <w:r w:rsidRPr="00792D3C">
        <w:rPr>
          <w:rFonts w:ascii="Times New Roman" w:hAnsi="Times New Roman" w:cs="Times New Roman"/>
          <w:sz w:val="24"/>
          <w:szCs w:val="24"/>
          <w:lang w:val="en-US"/>
        </w:rPr>
        <w:t>I</w:t>
      </w:r>
      <w:r w:rsidRPr="00792D3C">
        <w:rPr>
          <w:rFonts w:ascii="Times New Roman" w:hAnsi="Times New Roman" w:cs="Times New Roman"/>
          <w:sz w:val="24"/>
          <w:szCs w:val="24"/>
        </w:rPr>
        <w:t xml:space="preserve"> „Записан капитал“ и т. </w:t>
      </w:r>
      <w:r w:rsidRPr="00792D3C">
        <w:rPr>
          <w:rFonts w:ascii="Times New Roman" w:hAnsi="Times New Roman" w:cs="Times New Roman"/>
          <w:sz w:val="24"/>
          <w:szCs w:val="24"/>
          <w:lang w:val="en-US"/>
        </w:rPr>
        <w:t>II</w:t>
      </w:r>
      <w:r w:rsidRPr="00792D3C">
        <w:rPr>
          <w:rFonts w:ascii="Times New Roman" w:hAnsi="Times New Roman" w:cs="Times New Roman"/>
          <w:sz w:val="24"/>
          <w:szCs w:val="24"/>
        </w:rPr>
        <w:t xml:space="preserve"> „Премии от емисии“ от раздел А „Собствен капитал“ на пасивите, описани в Счетоводния баланс</w:t>
      </w:r>
      <w:r w:rsidRPr="00792D3C">
        <w:rPr>
          <w:rFonts w:ascii="Times New Roman" w:hAnsi="Times New Roman" w:cs="Times New Roman"/>
          <w:sz w:val="24"/>
          <w:szCs w:val="24"/>
          <w:vertAlign w:val="superscript"/>
        </w:rPr>
        <w:footnoteReference w:id="5"/>
      </w:r>
      <w:r w:rsidRPr="00792D3C">
        <w:rPr>
          <w:rFonts w:ascii="Times New Roman" w:hAnsi="Times New Roman" w:cs="Times New Roman"/>
          <w:sz w:val="24"/>
          <w:szCs w:val="24"/>
        </w:rPr>
        <w:t>.</w:t>
      </w:r>
    </w:p>
    <w:p w14:paraId="425DF450" w14:textId="26185193"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w:t>
      </w:r>
      <w:r w:rsidR="0033254F" w:rsidRPr="00792D3C">
        <w:rPr>
          <w:rFonts w:ascii="Times New Roman" w:hAnsi="Times New Roman" w:cs="Times New Roman"/>
          <w:sz w:val="24"/>
          <w:szCs w:val="24"/>
        </w:rPr>
        <w:t xml:space="preserve"> </w:t>
      </w:r>
      <w:r w:rsidR="0033254F" w:rsidRPr="00792D3C">
        <w:rPr>
          <w:rFonts w:ascii="Times New Roman" w:hAnsi="Times New Roman"/>
          <w:sz w:val="24"/>
          <w:szCs w:val="24"/>
        </w:rPr>
        <w:t>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w:t>
      </w:r>
      <w:r w:rsidRPr="00792D3C">
        <w:rPr>
          <w:rFonts w:ascii="Times New Roman" w:hAnsi="Times New Roman" w:cs="Times New Roman"/>
          <w:sz w:val="24"/>
          <w:szCs w:val="24"/>
        </w:rPr>
        <w:t xml:space="preserve">),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w:t>
      </w:r>
      <w:bookmarkStart w:id="0" w:name="_GoBack"/>
      <w:bookmarkEnd w:id="0"/>
      <w:r w:rsidRPr="00792D3C">
        <w:rPr>
          <w:rFonts w:ascii="Times New Roman" w:hAnsi="Times New Roman" w:cs="Times New Roman"/>
          <w:sz w:val="24"/>
          <w:szCs w:val="24"/>
        </w:rPr>
        <w:t>носят неограничена отговорност за задълженията на дружеството“, се разбира по-специално типовете дружества, посочени в приложение II към Директива 2013/34/ЕС на Европейския парламент и на Съвета.</w:t>
      </w:r>
    </w:p>
    <w:p w14:paraId="29727C1A"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280FBF86"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4FDA5477" w14:textId="77777777" w:rsidR="009C7FB9" w:rsidRPr="00792D3C" w:rsidRDefault="009C7FB9" w:rsidP="009C7FB9">
      <w:pPr>
        <w:spacing w:before="120"/>
        <w:jc w:val="both"/>
        <w:rPr>
          <w:rFonts w:ascii="Times New Roman" w:hAnsi="Times New Roman" w:cs="Times New Roman"/>
          <w:sz w:val="24"/>
          <w:szCs w:val="24"/>
        </w:rPr>
      </w:pPr>
      <w:r w:rsidRPr="00792D3C">
        <w:rPr>
          <w:rFonts w:ascii="Times New Roman" w:hAnsi="Times New Roman" w:cs="Times New Roman"/>
          <w:sz w:val="24"/>
          <w:szCs w:val="24"/>
        </w:rPr>
        <w:t>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административен договор се извършва проверка (включително за наличие на „предприятие в затруднено положение“ по смисъла на чл. 2, пар. 18 от Регламент (ЕС) № 651/2014) на кандидата и лицата, с които същите са свързани, формирайки група, въз основа на подадената Декларация за държавни/минимални помощи (Приложение 3) и чрез извършване на служебна проверка на наличната информация в публичните регистри (вкл. ТР и регистъра на ЮЛНЦ). Проверката и определянето на „група“ ще се извършва по отношение на предприятие майка и всички негови дъщерни предприятия, като: „предприятие майка</w:t>
      </w:r>
      <w:r w:rsidRPr="00792D3C">
        <w:rPr>
          <w:rFonts w:ascii="Times New Roman" w:hAnsi="Times New Roman" w:cs="Times New Roman"/>
          <w:sz w:val="24"/>
          <w:szCs w:val="24"/>
          <w:lang w:val="en-US"/>
        </w:rPr>
        <w:t>”</w:t>
      </w:r>
      <w:r w:rsidRPr="00792D3C">
        <w:rPr>
          <w:rFonts w:ascii="Times New Roman" w:hAnsi="Times New Roman" w:cs="Times New Roman"/>
          <w:sz w:val="24"/>
          <w:szCs w:val="24"/>
        </w:rPr>
        <w:t xml:space="preserve">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регистъра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p w14:paraId="05E74714" w14:textId="77777777" w:rsidR="009C7FB9" w:rsidRPr="00792D3C" w:rsidRDefault="009C7FB9" w:rsidP="009C7FB9">
      <w:pPr>
        <w:jc w:val="both"/>
        <w:rPr>
          <w:rFonts w:ascii="Times New Roman" w:hAnsi="Times New Roman" w:cs="Times New Roman"/>
          <w:b/>
          <w:sz w:val="24"/>
          <w:szCs w:val="24"/>
        </w:rPr>
      </w:pPr>
      <w:r w:rsidRPr="00792D3C">
        <w:rPr>
          <w:rFonts w:ascii="Times New Roman" w:hAnsi="Times New Roman" w:cs="Times New Roman"/>
          <w:b/>
          <w:sz w:val="24"/>
          <w:szCs w:val="24"/>
        </w:rPr>
        <w:t>В) Финансирането представлява:</w:t>
      </w:r>
    </w:p>
    <w:p w14:paraId="149E88AF"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lastRenderedPageBreak/>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792D3C">
        <w:rPr>
          <w:rFonts w:ascii="Times New Roman" w:hAnsi="Times New Roman" w:cs="Times New Roman"/>
          <w:sz w:val="24"/>
          <w:szCs w:val="24"/>
          <w:vertAlign w:val="superscript"/>
        </w:rPr>
        <w:footnoteReference w:id="6"/>
      </w:r>
      <w:r w:rsidRPr="00792D3C">
        <w:rPr>
          <w:rFonts w:ascii="Times New Roman" w:hAnsi="Times New Roman" w:cs="Times New Roman"/>
          <w:sz w:val="24"/>
          <w:szCs w:val="24"/>
        </w:rPr>
        <w:t>;</w:t>
      </w:r>
    </w:p>
    <w:p w14:paraId="20EE60D1" w14:textId="77777777" w:rsidR="009C7FB9" w:rsidRPr="009864EB"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 помощи, обвързани с условието за използване на местни (национално произведени стоки и услуги) за сметка на вносни стоки</w:t>
      </w:r>
      <w:r w:rsidRPr="00792D3C">
        <w:rPr>
          <w:rFonts w:ascii="Times New Roman" w:hAnsi="Times New Roman" w:cs="Times New Roman"/>
          <w:sz w:val="24"/>
          <w:szCs w:val="24"/>
          <w:vertAlign w:val="superscript"/>
        </w:rPr>
        <w:footnoteReference w:id="7"/>
      </w:r>
      <w:r w:rsidRPr="00792D3C">
        <w:rPr>
          <w:rFonts w:ascii="Times New Roman" w:hAnsi="Times New Roman" w:cs="Times New Roman"/>
          <w:sz w:val="24"/>
          <w:szCs w:val="24"/>
        </w:rPr>
        <w:t>.</w:t>
      </w:r>
    </w:p>
    <w:p w14:paraId="130AE6F8" w14:textId="77777777" w:rsidR="00842A44" w:rsidRPr="009864EB" w:rsidRDefault="00842A44" w:rsidP="009C7FB9">
      <w:pPr>
        <w:tabs>
          <w:tab w:val="left" w:pos="1080"/>
        </w:tabs>
        <w:rPr>
          <w:rFonts w:ascii="Times New Roman" w:hAnsi="Times New Roman" w:cs="Times New Roman"/>
          <w:sz w:val="24"/>
          <w:szCs w:val="24"/>
        </w:rPr>
      </w:pPr>
    </w:p>
    <w:sectPr w:rsidR="00842A44" w:rsidRPr="009864EB" w:rsidSect="009864EB">
      <w:headerReference w:type="default"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6E1868" w14:textId="77777777" w:rsidR="00206F56" w:rsidRDefault="00206F56" w:rsidP="00C2015B">
      <w:pPr>
        <w:spacing w:after="0" w:line="240" w:lineRule="auto"/>
      </w:pPr>
      <w:r>
        <w:separator/>
      </w:r>
    </w:p>
  </w:endnote>
  <w:endnote w:type="continuationSeparator" w:id="0">
    <w:p w14:paraId="064080B7" w14:textId="77777777" w:rsidR="00206F56" w:rsidRDefault="00206F56" w:rsidP="00C20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5086446"/>
      <w:docPartObj>
        <w:docPartGallery w:val="Page Numbers (Bottom of Page)"/>
        <w:docPartUnique/>
      </w:docPartObj>
    </w:sdtPr>
    <w:sdtEndPr>
      <w:rPr>
        <w:noProof/>
      </w:rPr>
    </w:sdtEndPr>
    <w:sdtContent>
      <w:p w14:paraId="7DB611C9" w14:textId="0B98BC06" w:rsidR="00EF7BBD" w:rsidRDefault="000C2FA0">
        <w:pPr>
          <w:pStyle w:val="Footer"/>
          <w:jc w:val="right"/>
        </w:pPr>
        <w:r>
          <w:fldChar w:fldCharType="begin"/>
        </w:r>
        <w:r w:rsidR="00EF7BBD">
          <w:instrText xml:space="preserve"> PAGE   \* MERGEFORMAT </w:instrText>
        </w:r>
        <w:r>
          <w:fldChar w:fldCharType="separate"/>
        </w:r>
        <w:r w:rsidR="004F16BB">
          <w:rPr>
            <w:noProof/>
          </w:rPr>
          <w:t>4</w:t>
        </w:r>
        <w:r>
          <w:rPr>
            <w:noProof/>
          </w:rPr>
          <w:fldChar w:fldCharType="end"/>
        </w:r>
      </w:p>
    </w:sdtContent>
  </w:sdt>
  <w:p w14:paraId="4CD5537D" w14:textId="77777777" w:rsidR="00EF7BBD" w:rsidRDefault="00EF7BB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0B569D" w14:textId="77777777" w:rsidR="00206F56" w:rsidRDefault="00206F56" w:rsidP="00C2015B">
      <w:pPr>
        <w:spacing w:after="0" w:line="240" w:lineRule="auto"/>
      </w:pPr>
      <w:r>
        <w:separator/>
      </w:r>
    </w:p>
  </w:footnote>
  <w:footnote w:type="continuationSeparator" w:id="0">
    <w:p w14:paraId="7A9FF05C" w14:textId="77777777" w:rsidR="00206F56" w:rsidRDefault="00206F56" w:rsidP="00C2015B">
      <w:pPr>
        <w:spacing w:after="0" w:line="240" w:lineRule="auto"/>
      </w:pPr>
      <w:r>
        <w:continuationSeparator/>
      </w:r>
    </w:p>
  </w:footnote>
  <w:footnote w:id="1">
    <w:p w14:paraId="7CA1DDE9" w14:textId="1C85CFEF" w:rsidR="009C7FB9" w:rsidRPr="00B23131" w:rsidRDefault="009C7FB9" w:rsidP="009C7FB9">
      <w:pPr>
        <w:pStyle w:val="FootnoteText"/>
        <w:jc w:val="both"/>
        <w:rPr>
          <w:rFonts w:ascii="Times New Roman" w:hAnsi="Times New Roman"/>
          <w:lang w:val="en-US"/>
        </w:rPr>
      </w:pPr>
      <w:r w:rsidRPr="00B23131">
        <w:rPr>
          <w:rStyle w:val="FootnoteReference"/>
          <w:rFonts w:ascii="Times New Roman" w:hAnsi="Times New Roman"/>
        </w:rPr>
        <w:footnoteRef/>
      </w:r>
      <w:r w:rsidRPr="00B23131">
        <w:rPr>
          <w:rFonts w:ascii="Times New Roman" w:hAnsi="Times New Roman"/>
        </w:rPr>
        <w:t xml:space="preserve"> Съгласно определенията по чл. 2 от Регламент на Комисията (ЕС) № 651/2014, т. 12 от Рамката за държавната помощ за корабостроенето, и Приложение</w:t>
      </w:r>
      <w:r w:rsidRPr="00B23131">
        <w:rPr>
          <w:rFonts w:ascii="Times New Roman" w:hAnsi="Times New Roman"/>
          <w:lang w:val="en-US"/>
        </w:rPr>
        <w:t xml:space="preserve"> </w:t>
      </w:r>
      <w:r w:rsidR="00076B58">
        <w:rPr>
          <w:rFonts w:ascii="Times New Roman" w:hAnsi="Times New Roman"/>
        </w:rPr>
        <w:t>8</w:t>
      </w:r>
      <w:r w:rsidRPr="00B23131">
        <w:rPr>
          <w:rFonts w:ascii="Times New Roman" w:hAnsi="Times New Roman"/>
        </w:rPr>
        <w:t xml:space="preserve"> към Условията за кандидатстване</w:t>
      </w:r>
      <w:r w:rsidRPr="00B23131">
        <w:rPr>
          <w:rFonts w:ascii="Times New Roman" w:hAnsi="Times New Roman"/>
          <w:lang w:val="en-US"/>
        </w:rPr>
        <w:t>.</w:t>
      </w:r>
    </w:p>
  </w:footnote>
  <w:footnote w:id="2">
    <w:p w14:paraId="3F92FA01" w14:textId="5C03523C" w:rsidR="009C7FB9" w:rsidRDefault="009C7FB9" w:rsidP="009C7FB9">
      <w:pPr>
        <w:pStyle w:val="FootnoteText"/>
        <w:jc w:val="both"/>
      </w:pPr>
      <w:r>
        <w:rPr>
          <w:rStyle w:val="FootnoteReference"/>
        </w:rPr>
        <w:footnoteRef/>
      </w:r>
      <w:r>
        <w:t xml:space="preserve"> </w:t>
      </w:r>
      <w:r w:rsidRPr="00644A8A">
        <w:rPr>
          <w:rFonts w:ascii="Times New Roman" w:hAnsi="Times New Roman"/>
        </w:rPr>
        <w:t>Съгласно определението за „</w:t>
      </w:r>
      <w:r>
        <w:rPr>
          <w:rFonts w:ascii="Times New Roman" w:hAnsi="Times New Roman"/>
        </w:rPr>
        <w:t>п</w:t>
      </w:r>
      <w:r w:rsidRPr="00E65AB1">
        <w:rPr>
          <w:rFonts w:ascii="Times New Roman" w:hAnsi="Times New Roman"/>
        </w:rPr>
        <w:t>реработка на селскостопански продукти</w:t>
      </w:r>
      <w:r w:rsidRPr="00644A8A">
        <w:rPr>
          <w:rFonts w:ascii="Times New Roman" w:hAnsi="Times New Roman"/>
        </w:rPr>
        <w:t xml:space="preserve">“, посочено в Приложение </w:t>
      </w:r>
      <w:r w:rsidR="00076B58">
        <w:rPr>
          <w:rFonts w:ascii="Times New Roman" w:hAnsi="Times New Roman"/>
        </w:rPr>
        <w:t>8</w:t>
      </w:r>
      <w:r w:rsidRPr="00644A8A">
        <w:rPr>
          <w:rFonts w:ascii="Times New Roman" w:hAnsi="Times New Roman"/>
        </w:rPr>
        <w:t xml:space="preserve"> към Условията за кандидатстване</w:t>
      </w:r>
      <w:r>
        <w:rPr>
          <w:rFonts w:ascii="Times New Roman" w:hAnsi="Times New Roman"/>
        </w:rPr>
        <w:t>.</w:t>
      </w:r>
    </w:p>
  </w:footnote>
  <w:footnote w:id="3">
    <w:p w14:paraId="4DA1DC8F" w14:textId="77777777" w:rsidR="009C7FB9" w:rsidRPr="006407F3" w:rsidRDefault="009C7FB9" w:rsidP="009C7FB9">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Съгласно чл. 1, пар. 4, буква „а)</w:t>
      </w:r>
      <w:r w:rsidRPr="006407F3">
        <w:rPr>
          <w:rFonts w:ascii="Times New Roman" w:hAnsi="Times New Roman"/>
          <w:lang w:val="en-US"/>
        </w:rPr>
        <w:t>”</w:t>
      </w:r>
      <w:r w:rsidRPr="006407F3">
        <w:rPr>
          <w:rFonts w:ascii="Times New Roman" w:hAnsi="Times New Roman"/>
        </w:rPr>
        <w:t xml:space="preserve"> от Регламент на Комисията (ЕС) № 651/2014</w:t>
      </w:r>
      <w:r w:rsidRPr="006407F3">
        <w:rPr>
          <w:rFonts w:ascii="Times New Roman" w:hAnsi="Times New Roman"/>
          <w:lang w:val="en-US"/>
        </w:rPr>
        <w:t xml:space="preserve"> </w:t>
      </w:r>
      <w:r w:rsidRPr="006407F3">
        <w:rPr>
          <w:rFonts w:ascii="Times New Roman" w:hAnsi="Times New Roman"/>
        </w:rPr>
        <w:t>г.</w:t>
      </w:r>
    </w:p>
  </w:footnote>
  <w:footnote w:id="4">
    <w:p w14:paraId="55973C7B" w14:textId="42F69D68" w:rsidR="009C7FB9" w:rsidRPr="006407F3" w:rsidRDefault="009C7FB9" w:rsidP="009C7FB9">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Проверка по отношение на обстоятелството дали кандидатите (и на ниво група) попадат в определението за затруднено положение по чл. 2, пар. 18 от Регламент (ЕС) № 651/2014 ще бъде извършвана спрямо всички кандидати съгласно данни от Декларацията за държавна/минимална помощ</w:t>
      </w:r>
      <w:r>
        <w:rPr>
          <w:rFonts w:ascii="Times New Roman" w:hAnsi="Times New Roman"/>
        </w:rPr>
        <w:t xml:space="preserve"> (Приложение 3)</w:t>
      </w:r>
      <w:r w:rsidRPr="006407F3">
        <w:rPr>
          <w:rFonts w:ascii="Times New Roman" w:hAnsi="Times New Roman"/>
        </w:rPr>
        <w:t>, наличната информация в публичните регистри (вкл. ТР</w:t>
      </w:r>
      <w:r w:rsidRPr="006407F3">
        <w:rPr>
          <w:rFonts w:ascii="Times New Roman" w:hAnsi="Times New Roman"/>
          <w:sz w:val="22"/>
          <w:szCs w:val="22"/>
        </w:rPr>
        <w:t xml:space="preserve"> </w:t>
      </w:r>
      <w:r w:rsidRPr="006407F3">
        <w:rPr>
          <w:rFonts w:ascii="Times New Roman" w:hAnsi="Times New Roman"/>
        </w:rPr>
        <w:t>и регистъра на ЮЛНЦ) и Годишен отчет за дейността за последните три приключени финансови  години (20</w:t>
      </w:r>
      <w:r>
        <w:rPr>
          <w:rFonts w:ascii="Times New Roman" w:hAnsi="Times New Roman"/>
        </w:rPr>
        <w:t>2</w:t>
      </w:r>
      <w:r w:rsidR="00863E67">
        <w:rPr>
          <w:rFonts w:ascii="Times New Roman" w:hAnsi="Times New Roman"/>
        </w:rPr>
        <w:t>1</w:t>
      </w:r>
      <w:r w:rsidRPr="006407F3">
        <w:rPr>
          <w:rFonts w:ascii="Times New Roman" w:hAnsi="Times New Roman"/>
        </w:rPr>
        <w:t>, 202</w:t>
      </w:r>
      <w:r w:rsidR="00863E67">
        <w:rPr>
          <w:rFonts w:ascii="Times New Roman" w:hAnsi="Times New Roman"/>
        </w:rPr>
        <w:t>2</w:t>
      </w:r>
      <w:r w:rsidR="00650F95">
        <w:rPr>
          <w:rFonts w:ascii="Times New Roman" w:hAnsi="Times New Roman"/>
        </w:rPr>
        <w:t>, 2023</w:t>
      </w:r>
      <w:r w:rsidRPr="006407F3">
        <w:rPr>
          <w:rFonts w:ascii="Times New Roman" w:hAnsi="Times New Roman"/>
        </w:rPr>
        <w:t xml:space="preserve"> и 202</w:t>
      </w:r>
      <w:r w:rsidR="00650F95">
        <w:rPr>
          <w:rFonts w:ascii="Times New Roman" w:hAnsi="Times New Roman"/>
        </w:rPr>
        <w:t>4</w:t>
      </w:r>
      <w:r w:rsidRPr="006407F3">
        <w:rPr>
          <w:rFonts w:ascii="Times New Roman" w:hAnsi="Times New Roman"/>
        </w:rPr>
        <w:t xml:space="preserve"> г.</w:t>
      </w:r>
      <w:r w:rsidR="00650F95">
        <w:rPr>
          <w:rFonts w:ascii="Times New Roman" w:hAnsi="Times New Roman"/>
        </w:rPr>
        <w:t>, ако е приложимо</w:t>
      </w:r>
      <w:r w:rsidRPr="006407F3">
        <w:rPr>
          <w:rFonts w:ascii="Times New Roman" w:hAnsi="Times New Roman"/>
        </w:rPr>
        <w:t>)</w:t>
      </w:r>
      <w:r>
        <w:rPr>
          <w:rFonts w:ascii="Times New Roman" w:hAnsi="Times New Roman"/>
        </w:rPr>
        <w:t>.</w:t>
      </w:r>
    </w:p>
  </w:footnote>
  <w:footnote w:id="5">
    <w:p w14:paraId="25F80F0E" w14:textId="77777777" w:rsidR="009C7FB9" w:rsidRPr="006407F3" w:rsidRDefault="009C7FB9" w:rsidP="009C7FB9">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Съгласно данните от Счетоводния баланс на предприятието-кандидат, част от Годишния отчет за дейността за последната приключена финансова година, подаден към НСИ.</w:t>
      </w:r>
    </w:p>
  </w:footnote>
  <w:footnote w:id="6">
    <w:p w14:paraId="48A96611" w14:textId="77777777" w:rsidR="009C7FB9" w:rsidRPr="009937EE" w:rsidRDefault="009C7FB9" w:rsidP="009C7FB9">
      <w:pPr>
        <w:pStyle w:val="FootnoteText"/>
        <w:rPr>
          <w:rFonts w:ascii="Times New Roman" w:hAnsi="Times New Roman"/>
        </w:rPr>
      </w:pPr>
      <w:r w:rsidRPr="009937EE">
        <w:rPr>
          <w:rStyle w:val="FootnoteReference"/>
          <w:rFonts w:ascii="Times New Roman" w:hAnsi="Times New Roman"/>
        </w:rPr>
        <w:footnoteRef/>
      </w:r>
      <w:r w:rsidRPr="009937EE">
        <w:rPr>
          <w:rFonts w:ascii="Times New Roman" w:hAnsi="Times New Roman"/>
        </w:rPr>
        <w:t xml:space="preserve"> Съгласно чл. 1, пар. 2, буква „в)</w:t>
      </w:r>
      <w:r w:rsidRPr="009937EE">
        <w:rPr>
          <w:rFonts w:ascii="Times New Roman" w:hAnsi="Times New Roman"/>
          <w:lang w:val="en-US"/>
        </w:rPr>
        <w:t>”</w:t>
      </w:r>
      <w:r w:rsidRPr="009937EE">
        <w:rPr>
          <w:rFonts w:ascii="Times New Roman" w:hAnsi="Times New Roman"/>
        </w:rPr>
        <w:t xml:space="preserve"> от Регламент на Комисията (ЕС) № 651/2014</w:t>
      </w:r>
      <w:r w:rsidRPr="009937EE">
        <w:rPr>
          <w:rFonts w:ascii="Times New Roman" w:hAnsi="Times New Roman"/>
          <w:lang w:val="en-US"/>
        </w:rPr>
        <w:t xml:space="preserve"> </w:t>
      </w:r>
      <w:r w:rsidRPr="009937EE">
        <w:rPr>
          <w:rFonts w:ascii="Times New Roman" w:hAnsi="Times New Roman"/>
        </w:rPr>
        <w:t>г.</w:t>
      </w:r>
    </w:p>
  </w:footnote>
  <w:footnote w:id="7">
    <w:p w14:paraId="25BD736B" w14:textId="77777777" w:rsidR="009C7FB9" w:rsidRPr="009937EE" w:rsidRDefault="009C7FB9" w:rsidP="009C7FB9">
      <w:pPr>
        <w:pStyle w:val="FootnoteText"/>
        <w:rPr>
          <w:rFonts w:ascii="Times New Roman" w:hAnsi="Times New Roman"/>
        </w:rPr>
      </w:pPr>
      <w:r w:rsidRPr="009937EE">
        <w:rPr>
          <w:rStyle w:val="FootnoteReference"/>
          <w:rFonts w:ascii="Times New Roman" w:hAnsi="Times New Roman"/>
        </w:rPr>
        <w:footnoteRef/>
      </w:r>
      <w:r w:rsidRPr="009937EE">
        <w:rPr>
          <w:rFonts w:ascii="Times New Roman" w:hAnsi="Times New Roman"/>
        </w:rPr>
        <w:t xml:space="preserve"> Съгласно чл. 1, пар. 2, буква „г)</w:t>
      </w:r>
      <w:r w:rsidRPr="009937EE">
        <w:rPr>
          <w:rFonts w:ascii="Times New Roman" w:hAnsi="Times New Roman"/>
          <w:lang w:val="en-US"/>
        </w:rPr>
        <w:t>”</w:t>
      </w:r>
      <w:r w:rsidRPr="009937EE">
        <w:rPr>
          <w:rFonts w:ascii="Times New Roman" w:hAnsi="Times New Roman"/>
        </w:rPr>
        <w:t xml:space="preserve"> от Регламент на Комисията (ЕС) № 651/2014</w:t>
      </w:r>
      <w:r w:rsidRPr="009937EE">
        <w:rPr>
          <w:rFonts w:ascii="Times New Roman" w:hAnsi="Times New Roman"/>
          <w:lang w:val="en-US"/>
        </w:rPr>
        <w:t xml:space="preserve"> </w:t>
      </w:r>
      <w:r w:rsidRPr="009937EE">
        <w:rPr>
          <w:rFonts w:ascii="Times New Roman" w:hAnsi="Times New Roman"/>
        </w:rPr>
        <w:t>г.</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4" w:space="0" w:color="auto"/>
      </w:tblBorders>
      <w:tblLook w:val="04A0" w:firstRow="1" w:lastRow="0" w:firstColumn="1" w:lastColumn="0" w:noHBand="0" w:noVBand="1"/>
    </w:tblPr>
    <w:tblGrid>
      <w:gridCol w:w="4781"/>
      <w:gridCol w:w="5073"/>
    </w:tblGrid>
    <w:tr w:rsidR="003E4734" w:rsidRPr="00934C1B" w14:paraId="5E16CF96" w14:textId="77777777" w:rsidTr="00D93D50">
      <w:tc>
        <w:tcPr>
          <w:tcW w:w="2426" w:type="pct"/>
          <w:shd w:val="clear" w:color="auto" w:fill="auto"/>
        </w:tcPr>
        <w:p w14:paraId="0A2143CB" w14:textId="31CFDDC7" w:rsidR="003E4734" w:rsidRPr="00934C1B" w:rsidRDefault="003E4734" w:rsidP="003E4734">
          <w:pPr>
            <w:pStyle w:val="Header"/>
            <w:tabs>
              <w:tab w:val="clear" w:pos="4536"/>
              <w:tab w:val="clear" w:pos="9072"/>
              <w:tab w:val="left" w:pos="5828"/>
            </w:tabs>
          </w:pPr>
          <w:r>
            <w:rPr>
              <w:i/>
              <w:noProof/>
              <w:lang w:val="en-US"/>
            </w:rPr>
            <w:drawing>
              <wp:inline distT="0" distB="0" distL="0" distR="0" wp14:anchorId="1CADC9B8" wp14:editId="5220671E">
                <wp:extent cx="2047875" cy="4762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476250"/>
                        </a:xfrm>
                        <a:prstGeom prst="rect">
                          <a:avLst/>
                        </a:prstGeom>
                        <a:noFill/>
                        <a:ln>
                          <a:noFill/>
                        </a:ln>
                      </pic:spPr>
                    </pic:pic>
                  </a:graphicData>
                </a:graphic>
              </wp:inline>
            </w:drawing>
          </w:r>
        </w:p>
      </w:tc>
      <w:tc>
        <w:tcPr>
          <w:tcW w:w="2574" w:type="pct"/>
          <w:shd w:val="clear" w:color="auto" w:fill="auto"/>
        </w:tcPr>
        <w:p w14:paraId="393269EF" w14:textId="77777777" w:rsidR="003E4734" w:rsidRPr="00934C1B" w:rsidRDefault="003E4734" w:rsidP="003E4734">
          <w:pPr>
            <w:pStyle w:val="Header"/>
            <w:tabs>
              <w:tab w:val="clear" w:pos="4536"/>
              <w:tab w:val="clear" w:pos="9072"/>
              <w:tab w:val="left" w:pos="5828"/>
            </w:tabs>
            <w:jc w:val="right"/>
          </w:pPr>
          <w:r>
            <w:rPr>
              <w:noProof/>
              <w:lang w:val="en-US"/>
            </w:rPr>
            <w:drawing>
              <wp:inline distT="0" distB="0" distL="0" distR="0" wp14:anchorId="4020CA7B" wp14:editId="4504AFB1">
                <wp:extent cx="2085860" cy="589448"/>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0121" cy="599130"/>
                        </a:xfrm>
                        <a:prstGeom prst="rect">
                          <a:avLst/>
                        </a:prstGeom>
                        <a:noFill/>
                        <a:ln>
                          <a:noFill/>
                        </a:ln>
                      </pic:spPr>
                    </pic:pic>
                  </a:graphicData>
                </a:graphic>
              </wp:inline>
            </w:drawing>
          </w:r>
        </w:p>
      </w:tc>
    </w:tr>
  </w:tbl>
  <w:p w14:paraId="2C269E8F" w14:textId="77777777" w:rsidR="003E4734" w:rsidRDefault="003E4734" w:rsidP="003E4734">
    <w:pPr>
      <w:pStyle w:val="Header"/>
    </w:pPr>
  </w:p>
  <w:p w14:paraId="609DB175" w14:textId="77777777" w:rsidR="003E4734" w:rsidRDefault="003E4734" w:rsidP="003E4734">
    <w:pPr>
      <w:pStyle w:val="Header"/>
    </w:pPr>
  </w:p>
  <w:p w14:paraId="6DF09040" w14:textId="1A576BC6" w:rsidR="008C53F8" w:rsidRPr="003E4734" w:rsidRDefault="008C53F8" w:rsidP="003E47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52672D"/>
    <w:rsid w:val="00003B76"/>
    <w:rsid w:val="00026A4C"/>
    <w:rsid w:val="00035077"/>
    <w:rsid w:val="00036828"/>
    <w:rsid w:val="00042A53"/>
    <w:rsid w:val="00055BAF"/>
    <w:rsid w:val="00062997"/>
    <w:rsid w:val="00071C8D"/>
    <w:rsid w:val="00075AE7"/>
    <w:rsid w:val="00076B58"/>
    <w:rsid w:val="0007738C"/>
    <w:rsid w:val="00080A63"/>
    <w:rsid w:val="00080B85"/>
    <w:rsid w:val="00082F7D"/>
    <w:rsid w:val="00096B22"/>
    <w:rsid w:val="000A4D38"/>
    <w:rsid w:val="000B0109"/>
    <w:rsid w:val="000B785D"/>
    <w:rsid w:val="000C0041"/>
    <w:rsid w:val="000C2FA0"/>
    <w:rsid w:val="000C31D0"/>
    <w:rsid w:val="000C7860"/>
    <w:rsid w:val="000D14B9"/>
    <w:rsid w:val="000D1E98"/>
    <w:rsid w:val="000E51FD"/>
    <w:rsid w:val="000E6D92"/>
    <w:rsid w:val="000F0FFC"/>
    <w:rsid w:val="000F4C4A"/>
    <w:rsid w:val="000F5A30"/>
    <w:rsid w:val="00103A0D"/>
    <w:rsid w:val="00117FA7"/>
    <w:rsid w:val="001442B9"/>
    <w:rsid w:val="0015071E"/>
    <w:rsid w:val="0015205A"/>
    <w:rsid w:val="00160562"/>
    <w:rsid w:val="001608E4"/>
    <w:rsid w:val="00176576"/>
    <w:rsid w:val="0017661F"/>
    <w:rsid w:val="00180590"/>
    <w:rsid w:val="00186347"/>
    <w:rsid w:val="00191984"/>
    <w:rsid w:val="001957CE"/>
    <w:rsid w:val="001B2CC4"/>
    <w:rsid w:val="001E17DF"/>
    <w:rsid w:val="001F734D"/>
    <w:rsid w:val="001F7B0B"/>
    <w:rsid w:val="00204D47"/>
    <w:rsid w:val="00206F56"/>
    <w:rsid w:val="00212769"/>
    <w:rsid w:val="00246E99"/>
    <w:rsid w:val="0025393E"/>
    <w:rsid w:val="002654FA"/>
    <w:rsid w:val="00277891"/>
    <w:rsid w:val="00281AFC"/>
    <w:rsid w:val="00291655"/>
    <w:rsid w:val="00293479"/>
    <w:rsid w:val="00293932"/>
    <w:rsid w:val="002B7A94"/>
    <w:rsid w:val="002D27DB"/>
    <w:rsid w:val="002D37FB"/>
    <w:rsid w:val="002E48A3"/>
    <w:rsid w:val="002E535A"/>
    <w:rsid w:val="002E684B"/>
    <w:rsid w:val="002F6731"/>
    <w:rsid w:val="00300A64"/>
    <w:rsid w:val="0030134F"/>
    <w:rsid w:val="00301575"/>
    <w:rsid w:val="00307495"/>
    <w:rsid w:val="003220E7"/>
    <w:rsid w:val="0033254F"/>
    <w:rsid w:val="0034004D"/>
    <w:rsid w:val="0034130A"/>
    <w:rsid w:val="00347BD6"/>
    <w:rsid w:val="0035729A"/>
    <w:rsid w:val="00361236"/>
    <w:rsid w:val="00373790"/>
    <w:rsid w:val="00383689"/>
    <w:rsid w:val="00386B31"/>
    <w:rsid w:val="003A5265"/>
    <w:rsid w:val="003B3C73"/>
    <w:rsid w:val="003C7966"/>
    <w:rsid w:val="003D13C5"/>
    <w:rsid w:val="003E4734"/>
    <w:rsid w:val="003F1C57"/>
    <w:rsid w:val="00414438"/>
    <w:rsid w:val="00423F8C"/>
    <w:rsid w:val="0042695B"/>
    <w:rsid w:val="00431F23"/>
    <w:rsid w:val="00433340"/>
    <w:rsid w:val="004442CB"/>
    <w:rsid w:val="004447C4"/>
    <w:rsid w:val="00445C1B"/>
    <w:rsid w:val="00452F4E"/>
    <w:rsid w:val="004621B0"/>
    <w:rsid w:val="004674D0"/>
    <w:rsid w:val="0048023F"/>
    <w:rsid w:val="0048031E"/>
    <w:rsid w:val="00480428"/>
    <w:rsid w:val="004944D8"/>
    <w:rsid w:val="00494F3B"/>
    <w:rsid w:val="004A38B3"/>
    <w:rsid w:val="004A58FD"/>
    <w:rsid w:val="004A7438"/>
    <w:rsid w:val="004B23C3"/>
    <w:rsid w:val="004B53DF"/>
    <w:rsid w:val="004C1852"/>
    <w:rsid w:val="004C53FE"/>
    <w:rsid w:val="004C6632"/>
    <w:rsid w:val="004F16BB"/>
    <w:rsid w:val="0050080D"/>
    <w:rsid w:val="005030F4"/>
    <w:rsid w:val="00505E3C"/>
    <w:rsid w:val="00511A22"/>
    <w:rsid w:val="005142BE"/>
    <w:rsid w:val="00514647"/>
    <w:rsid w:val="005165CD"/>
    <w:rsid w:val="005262B7"/>
    <w:rsid w:val="0052672D"/>
    <w:rsid w:val="00526C9D"/>
    <w:rsid w:val="00527F55"/>
    <w:rsid w:val="0053099C"/>
    <w:rsid w:val="00537EC5"/>
    <w:rsid w:val="00545C13"/>
    <w:rsid w:val="00546DE7"/>
    <w:rsid w:val="00552FCF"/>
    <w:rsid w:val="00560AA4"/>
    <w:rsid w:val="0057031A"/>
    <w:rsid w:val="005737C6"/>
    <w:rsid w:val="00575069"/>
    <w:rsid w:val="00582674"/>
    <w:rsid w:val="00585D47"/>
    <w:rsid w:val="005B6A58"/>
    <w:rsid w:val="005C6EA2"/>
    <w:rsid w:val="005D0638"/>
    <w:rsid w:val="005D09D7"/>
    <w:rsid w:val="005D4B6A"/>
    <w:rsid w:val="005D72C8"/>
    <w:rsid w:val="006117FC"/>
    <w:rsid w:val="00615DBC"/>
    <w:rsid w:val="0062720E"/>
    <w:rsid w:val="00630293"/>
    <w:rsid w:val="006407F3"/>
    <w:rsid w:val="00644A8A"/>
    <w:rsid w:val="00650F95"/>
    <w:rsid w:val="00665976"/>
    <w:rsid w:val="00667B6D"/>
    <w:rsid w:val="00673B34"/>
    <w:rsid w:val="0067538C"/>
    <w:rsid w:val="0067606A"/>
    <w:rsid w:val="006A0BBE"/>
    <w:rsid w:val="006A14EF"/>
    <w:rsid w:val="006A1583"/>
    <w:rsid w:val="006A7C1C"/>
    <w:rsid w:val="006B3D56"/>
    <w:rsid w:val="006C550D"/>
    <w:rsid w:val="006D6B56"/>
    <w:rsid w:val="006D7C95"/>
    <w:rsid w:val="006E677F"/>
    <w:rsid w:val="006F4D77"/>
    <w:rsid w:val="007006AC"/>
    <w:rsid w:val="0071145B"/>
    <w:rsid w:val="00717479"/>
    <w:rsid w:val="00717C28"/>
    <w:rsid w:val="00735318"/>
    <w:rsid w:val="0076529B"/>
    <w:rsid w:val="00787BB2"/>
    <w:rsid w:val="00792D3C"/>
    <w:rsid w:val="00794A2F"/>
    <w:rsid w:val="00795AF8"/>
    <w:rsid w:val="007A3549"/>
    <w:rsid w:val="007A6D43"/>
    <w:rsid w:val="007B50D5"/>
    <w:rsid w:val="007C00CD"/>
    <w:rsid w:val="007E182E"/>
    <w:rsid w:val="007E2518"/>
    <w:rsid w:val="007F239C"/>
    <w:rsid w:val="008024A5"/>
    <w:rsid w:val="00814AE6"/>
    <w:rsid w:val="008267F5"/>
    <w:rsid w:val="0083079A"/>
    <w:rsid w:val="008319FE"/>
    <w:rsid w:val="008342D1"/>
    <w:rsid w:val="00835600"/>
    <w:rsid w:val="00842A44"/>
    <w:rsid w:val="00843971"/>
    <w:rsid w:val="008454B2"/>
    <w:rsid w:val="00856651"/>
    <w:rsid w:val="00863E67"/>
    <w:rsid w:val="00865598"/>
    <w:rsid w:val="0087071C"/>
    <w:rsid w:val="00871703"/>
    <w:rsid w:val="00880AC7"/>
    <w:rsid w:val="00886581"/>
    <w:rsid w:val="00886DD7"/>
    <w:rsid w:val="00897EB7"/>
    <w:rsid w:val="008A6E8D"/>
    <w:rsid w:val="008A7664"/>
    <w:rsid w:val="008B3A38"/>
    <w:rsid w:val="008C53F8"/>
    <w:rsid w:val="008D2918"/>
    <w:rsid w:val="008F5FAB"/>
    <w:rsid w:val="008F60BB"/>
    <w:rsid w:val="00924456"/>
    <w:rsid w:val="009322D1"/>
    <w:rsid w:val="00943B84"/>
    <w:rsid w:val="009454EC"/>
    <w:rsid w:val="00966452"/>
    <w:rsid w:val="0097236A"/>
    <w:rsid w:val="00973BDB"/>
    <w:rsid w:val="00977AB1"/>
    <w:rsid w:val="00984BB6"/>
    <w:rsid w:val="009864EB"/>
    <w:rsid w:val="00987C90"/>
    <w:rsid w:val="009937EE"/>
    <w:rsid w:val="00994C05"/>
    <w:rsid w:val="00996EEB"/>
    <w:rsid w:val="009A7F7B"/>
    <w:rsid w:val="009B229B"/>
    <w:rsid w:val="009C5413"/>
    <w:rsid w:val="009C7AA3"/>
    <w:rsid w:val="009C7AD0"/>
    <w:rsid w:val="009C7FB9"/>
    <w:rsid w:val="009D161C"/>
    <w:rsid w:val="009D1B02"/>
    <w:rsid w:val="009E0919"/>
    <w:rsid w:val="00A05B1D"/>
    <w:rsid w:val="00A0613E"/>
    <w:rsid w:val="00A06F80"/>
    <w:rsid w:val="00A119B1"/>
    <w:rsid w:val="00A12669"/>
    <w:rsid w:val="00A27C44"/>
    <w:rsid w:val="00A477F4"/>
    <w:rsid w:val="00A527D7"/>
    <w:rsid w:val="00A625AE"/>
    <w:rsid w:val="00A666F6"/>
    <w:rsid w:val="00A73976"/>
    <w:rsid w:val="00A77970"/>
    <w:rsid w:val="00A82751"/>
    <w:rsid w:val="00A9600D"/>
    <w:rsid w:val="00AD5927"/>
    <w:rsid w:val="00AE1F97"/>
    <w:rsid w:val="00AE5932"/>
    <w:rsid w:val="00AF22B2"/>
    <w:rsid w:val="00B11D8F"/>
    <w:rsid w:val="00B13C2B"/>
    <w:rsid w:val="00B23131"/>
    <w:rsid w:val="00B3129E"/>
    <w:rsid w:val="00B430A0"/>
    <w:rsid w:val="00B47B26"/>
    <w:rsid w:val="00B53D5D"/>
    <w:rsid w:val="00B851B8"/>
    <w:rsid w:val="00B85953"/>
    <w:rsid w:val="00B92CC7"/>
    <w:rsid w:val="00B95A5E"/>
    <w:rsid w:val="00BD17D7"/>
    <w:rsid w:val="00BE0391"/>
    <w:rsid w:val="00BF15EE"/>
    <w:rsid w:val="00BF3507"/>
    <w:rsid w:val="00BF55A8"/>
    <w:rsid w:val="00C025D2"/>
    <w:rsid w:val="00C047DB"/>
    <w:rsid w:val="00C10720"/>
    <w:rsid w:val="00C13F39"/>
    <w:rsid w:val="00C14A4A"/>
    <w:rsid w:val="00C2015B"/>
    <w:rsid w:val="00C33A13"/>
    <w:rsid w:val="00C35DAD"/>
    <w:rsid w:val="00C45C15"/>
    <w:rsid w:val="00C51502"/>
    <w:rsid w:val="00C54BA0"/>
    <w:rsid w:val="00C67BB0"/>
    <w:rsid w:val="00C759FC"/>
    <w:rsid w:val="00C775FC"/>
    <w:rsid w:val="00C81E58"/>
    <w:rsid w:val="00C8270B"/>
    <w:rsid w:val="00C86721"/>
    <w:rsid w:val="00C87E73"/>
    <w:rsid w:val="00C934D8"/>
    <w:rsid w:val="00CC2432"/>
    <w:rsid w:val="00CC63FD"/>
    <w:rsid w:val="00CC6B16"/>
    <w:rsid w:val="00CD41F0"/>
    <w:rsid w:val="00CD50E6"/>
    <w:rsid w:val="00CE197C"/>
    <w:rsid w:val="00CE21CB"/>
    <w:rsid w:val="00D05994"/>
    <w:rsid w:val="00D0604C"/>
    <w:rsid w:val="00D14113"/>
    <w:rsid w:val="00D1451F"/>
    <w:rsid w:val="00D224EF"/>
    <w:rsid w:val="00D31590"/>
    <w:rsid w:val="00D32617"/>
    <w:rsid w:val="00D330CC"/>
    <w:rsid w:val="00D44574"/>
    <w:rsid w:val="00D53EDC"/>
    <w:rsid w:val="00D62ED9"/>
    <w:rsid w:val="00D64930"/>
    <w:rsid w:val="00D70197"/>
    <w:rsid w:val="00D74503"/>
    <w:rsid w:val="00D75E5B"/>
    <w:rsid w:val="00D771D2"/>
    <w:rsid w:val="00D861D8"/>
    <w:rsid w:val="00D879AF"/>
    <w:rsid w:val="00D95C10"/>
    <w:rsid w:val="00DC0800"/>
    <w:rsid w:val="00DE71E8"/>
    <w:rsid w:val="00DF25AC"/>
    <w:rsid w:val="00DF2BA8"/>
    <w:rsid w:val="00E054FB"/>
    <w:rsid w:val="00E15E35"/>
    <w:rsid w:val="00E27F10"/>
    <w:rsid w:val="00E37D12"/>
    <w:rsid w:val="00E408F3"/>
    <w:rsid w:val="00E42F1D"/>
    <w:rsid w:val="00E467DF"/>
    <w:rsid w:val="00E64772"/>
    <w:rsid w:val="00E650E8"/>
    <w:rsid w:val="00E65AB1"/>
    <w:rsid w:val="00E66803"/>
    <w:rsid w:val="00E70E6D"/>
    <w:rsid w:val="00E8414A"/>
    <w:rsid w:val="00E853AE"/>
    <w:rsid w:val="00E876A2"/>
    <w:rsid w:val="00E87C98"/>
    <w:rsid w:val="00EA3E6C"/>
    <w:rsid w:val="00EB3ED0"/>
    <w:rsid w:val="00ED1299"/>
    <w:rsid w:val="00EF49E3"/>
    <w:rsid w:val="00EF7BBD"/>
    <w:rsid w:val="00F217B6"/>
    <w:rsid w:val="00F30ADB"/>
    <w:rsid w:val="00F33776"/>
    <w:rsid w:val="00F33E07"/>
    <w:rsid w:val="00F36E9C"/>
    <w:rsid w:val="00F42F61"/>
    <w:rsid w:val="00F463C1"/>
    <w:rsid w:val="00F5133E"/>
    <w:rsid w:val="00F6061A"/>
    <w:rsid w:val="00F624F7"/>
    <w:rsid w:val="00F65D96"/>
    <w:rsid w:val="00F71346"/>
    <w:rsid w:val="00F905C7"/>
    <w:rsid w:val="00F97F86"/>
    <w:rsid w:val="00FA663F"/>
    <w:rsid w:val="00FB4851"/>
    <w:rsid w:val="00FC6DBB"/>
    <w:rsid w:val="00FD4137"/>
    <w:rsid w:val="00FD6805"/>
    <w:rsid w:val="00FD698B"/>
    <w:rsid w:val="00FE6B7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7829FF5"/>
  <w15:docId w15:val="{28D262EC-7320-4E34-ABAA-5799B1E64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B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2015B"/>
    <w:pPr>
      <w:spacing w:after="0" w:line="240" w:lineRule="auto"/>
    </w:pPr>
    <w:rPr>
      <w:rFonts w:ascii="Arial" w:hAnsi="Arial" w:cs="Times New Roman"/>
      <w:sz w:val="20"/>
      <w:szCs w:val="20"/>
    </w:rPr>
  </w:style>
  <w:style w:type="character" w:customStyle="1" w:styleId="FootnoteTextChar">
    <w:name w:val="Footnote Text Char"/>
    <w:basedOn w:val="DefaultParagraphFont"/>
    <w:link w:val="FootnoteText"/>
    <w:uiPriority w:val="99"/>
    <w:semiHidden/>
    <w:rsid w:val="00C2015B"/>
    <w:rPr>
      <w:rFonts w:ascii="Arial" w:hAnsi="Arial" w:cs="Times New Roman"/>
      <w:sz w:val="20"/>
      <w:szCs w:val="20"/>
    </w:rPr>
  </w:style>
  <w:style w:type="paragraph" w:styleId="Header">
    <w:name w:val="header"/>
    <w:basedOn w:val="Normal"/>
    <w:link w:val="HeaderChar"/>
    <w:unhideWhenUsed/>
    <w:rsid w:val="00EF7BBD"/>
    <w:pPr>
      <w:tabs>
        <w:tab w:val="center" w:pos="4536"/>
        <w:tab w:val="right" w:pos="9072"/>
      </w:tabs>
      <w:spacing w:after="0" w:line="240" w:lineRule="auto"/>
    </w:pPr>
  </w:style>
  <w:style w:type="character" w:customStyle="1" w:styleId="HeaderChar">
    <w:name w:val="Header Char"/>
    <w:basedOn w:val="DefaultParagraphFont"/>
    <w:link w:val="Header"/>
    <w:rsid w:val="00EF7BBD"/>
  </w:style>
  <w:style w:type="paragraph" w:styleId="Footer">
    <w:name w:val="footer"/>
    <w:basedOn w:val="Normal"/>
    <w:link w:val="FooterChar"/>
    <w:uiPriority w:val="99"/>
    <w:unhideWhenUsed/>
    <w:rsid w:val="00EF7B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7BBD"/>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FC6DBB"/>
    <w:rPr>
      <w:vertAlign w:val="superscript"/>
    </w:rPr>
  </w:style>
  <w:style w:type="paragraph" w:styleId="BalloonText">
    <w:name w:val="Balloon Text"/>
    <w:basedOn w:val="Normal"/>
    <w:link w:val="BalloonTextChar"/>
    <w:uiPriority w:val="99"/>
    <w:semiHidden/>
    <w:unhideWhenUsed/>
    <w:rsid w:val="00CD41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1F0"/>
    <w:rPr>
      <w:rFonts w:ascii="Segoe UI" w:hAnsi="Segoe UI" w:cs="Segoe UI"/>
      <w:sz w:val="18"/>
      <w:szCs w:val="18"/>
    </w:rPr>
  </w:style>
  <w:style w:type="character" w:styleId="CommentReference">
    <w:name w:val="annotation reference"/>
    <w:basedOn w:val="DefaultParagraphFont"/>
    <w:uiPriority w:val="99"/>
    <w:semiHidden/>
    <w:unhideWhenUsed/>
    <w:rsid w:val="002D27DB"/>
    <w:rPr>
      <w:sz w:val="16"/>
      <w:szCs w:val="16"/>
    </w:rPr>
  </w:style>
  <w:style w:type="paragraph" w:styleId="CommentText">
    <w:name w:val="annotation text"/>
    <w:basedOn w:val="Normal"/>
    <w:link w:val="CommentTextChar"/>
    <w:uiPriority w:val="99"/>
    <w:semiHidden/>
    <w:unhideWhenUsed/>
    <w:rsid w:val="002D27DB"/>
    <w:pPr>
      <w:spacing w:line="240" w:lineRule="auto"/>
    </w:pPr>
    <w:rPr>
      <w:sz w:val="20"/>
      <w:szCs w:val="20"/>
    </w:rPr>
  </w:style>
  <w:style w:type="character" w:customStyle="1" w:styleId="CommentTextChar">
    <w:name w:val="Comment Text Char"/>
    <w:basedOn w:val="DefaultParagraphFont"/>
    <w:link w:val="CommentText"/>
    <w:uiPriority w:val="99"/>
    <w:semiHidden/>
    <w:rsid w:val="002D27DB"/>
    <w:rPr>
      <w:sz w:val="20"/>
      <w:szCs w:val="20"/>
    </w:rPr>
  </w:style>
  <w:style w:type="paragraph" w:styleId="CommentSubject">
    <w:name w:val="annotation subject"/>
    <w:basedOn w:val="CommentText"/>
    <w:next w:val="CommentText"/>
    <w:link w:val="CommentSubjectChar"/>
    <w:uiPriority w:val="99"/>
    <w:semiHidden/>
    <w:unhideWhenUsed/>
    <w:rsid w:val="002D27DB"/>
    <w:rPr>
      <w:b/>
      <w:bCs/>
    </w:rPr>
  </w:style>
  <w:style w:type="character" w:customStyle="1" w:styleId="CommentSubjectChar">
    <w:name w:val="Comment Subject Char"/>
    <w:basedOn w:val="CommentTextChar"/>
    <w:link w:val="CommentSubject"/>
    <w:uiPriority w:val="99"/>
    <w:semiHidden/>
    <w:rsid w:val="002D27DB"/>
    <w:rPr>
      <w:b/>
      <w:bCs/>
      <w:sz w:val="20"/>
      <w:szCs w:val="20"/>
    </w:rPr>
  </w:style>
  <w:style w:type="paragraph" w:styleId="ListParagraph">
    <w:name w:val="List Paragraph"/>
    <w:basedOn w:val="Normal"/>
    <w:uiPriority w:val="34"/>
    <w:qFormat/>
    <w:rsid w:val="00347B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43B3A-FB26-4B86-A0CA-B1DECB2BF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4</Pages>
  <Words>1189</Words>
  <Characters>6779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Hristo Yordanov</cp:lastModifiedBy>
  <cp:revision>20</cp:revision>
  <cp:lastPrinted>2023-01-19T12:25:00Z</cp:lastPrinted>
  <dcterms:created xsi:type="dcterms:W3CDTF">2023-10-27T16:37:00Z</dcterms:created>
  <dcterms:modified xsi:type="dcterms:W3CDTF">2024-11-18T12:54:00Z</dcterms:modified>
</cp:coreProperties>
</file>